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12"/>
        <w:spacing w:after="0" w:line="240" w:lineRule="auto"/>
        <w:jc w:val="center"/>
        <w:rPr>
          <w:rFonts w:ascii="Times New Roman" w:hAnsi="Times New Roman"/>
          <w:sz w:val="36"/>
          <w:szCs w:val="36"/>
        </w:rPr>
      </w:pPr>
      <w:r>
        <w:rPr>
          <w:rFonts w:ascii="Arial" w:hAnsi="Arial" w:cs="Arial"/>
          <w:sz w:val="36"/>
          <w:szCs w:val="36"/>
          <w:lang w:eastAsia="ru-RU"/>
        </w:rPr>
      </w:r>
      <w:r>
        <w:rPr>
          <w:rFonts w:ascii="Arial" w:hAnsi="Arial" w:cs="Arial"/>
          <w:sz w:val="36"/>
          <w:szCs w:val="36"/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502177" cy="612314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24083699" name=""/>
                        <pic:cNvPicPr/>
                        <pic:nvPr/>
                      </pic:nvPicPr>
                      <pic:blipFill>
                        <a:blip r:embed="rId12"/>
                        <a:stretch/>
                      </pic:blipFill>
                      <pic:spPr bwMode="auto">
                        <a:xfrm>
                          <a:off x="0" y="0"/>
                          <a:ext cx="502176" cy="61231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39.54pt;height:48.21pt;mso-wrap-distance-left:0.00pt;mso-wrap-distance-top:0.00pt;mso-wrap-distance-right:0.00pt;mso-wrap-distance-bottom:0.00pt;" stroked="f">
                <v:path textboxrect="0,0,0,0"/>
                <v:imagedata r:id="rId12" o:title=""/>
              </v:shape>
            </w:pict>
          </mc:Fallback>
        </mc:AlternateContent>
      </w:r>
      <w:r>
        <w:rPr>
          <w:rFonts w:ascii="Arial" w:hAnsi="Arial" w:cs="Arial"/>
          <w:sz w:val="36"/>
          <w:szCs w:val="36"/>
          <w:lang w:eastAsia="ru-RU"/>
        </w:rPr>
      </w:r>
      <w:r>
        <w:rPr>
          <w:rFonts w:ascii="Times New Roman" w:hAnsi="Times New Roman"/>
          <w:sz w:val="36"/>
          <w:szCs w:val="36"/>
        </w:rPr>
      </w:r>
      <w:r>
        <w:rPr>
          <w:rFonts w:ascii="Times New Roman" w:hAnsi="Times New Roman"/>
          <w:sz w:val="36"/>
          <w:szCs w:val="36"/>
        </w:rPr>
      </w:r>
    </w:p>
    <w:p>
      <w:pPr>
        <w:pStyle w:val="912"/>
        <w:keepNext/>
        <w:spacing w:after="0" w:line="240" w:lineRule="auto"/>
        <w:jc w:val="center"/>
        <w:outlineLvl w:val="0"/>
        <w:rPr>
          <w:rFonts w:ascii="Arial Narrow" w:hAnsi="Arial Narrow"/>
          <w:b/>
          <w:bCs/>
          <w:sz w:val="40"/>
          <w:szCs w:val="40"/>
          <w:highlight w:val="white"/>
        </w:rPr>
      </w:pPr>
      <w:r>
        <w:rPr>
          <w:rFonts w:ascii="Arial Narrow" w:hAnsi="Arial Narrow"/>
          <w:b/>
          <w:bCs/>
          <w:sz w:val="40"/>
          <w:szCs w:val="40"/>
          <w:highlight w:val="white"/>
        </w:rPr>
        <w:t xml:space="preserve">АДМИНИСТРАЦИЯ </w:t>
      </w:r>
      <w:r>
        <w:rPr>
          <w:rFonts w:ascii="Arial Narrow" w:hAnsi="Arial Narrow"/>
          <w:b/>
          <w:bCs/>
          <w:sz w:val="40"/>
          <w:szCs w:val="40"/>
          <w:highlight w:val="white"/>
        </w:rPr>
      </w:r>
      <w:r>
        <w:rPr>
          <w:rFonts w:ascii="Arial Narrow" w:hAnsi="Arial Narrow"/>
          <w:b/>
          <w:bCs/>
          <w:sz w:val="40"/>
          <w:szCs w:val="40"/>
          <w:highlight w:val="white"/>
        </w:rPr>
      </w:r>
    </w:p>
    <w:p>
      <w:pPr>
        <w:keepNext/>
        <w:spacing w:after="0" w:line="240" w:lineRule="auto"/>
        <w:jc w:val="center"/>
        <w:outlineLvl w:val="0"/>
        <w:rPr>
          <w:rFonts w:ascii="Arial Narrow" w:hAnsi="Arial Narrow"/>
          <w:b/>
          <w:bCs/>
          <w:sz w:val="40"/>
          <w:szCs w:val="40"/>
          <w:highlight w:val="none"/>
        </w:rPr>
      </w:pPr>
      <w:r>
        <w:rPr>
          <w:rFonts w:ascii="Arial Narrow" w:hAnsi="Arial Narrow"/>
          <w:b/>
          <w:bCs/>
          <w:sz w:val="40"/>
          <w:szCs w:val="40"/>
          <w:highlight w:val="white"/>
        </w:rPr>
        <w:t xml:space="preserve">ИВНЯНСКОГО МУНИЦИПАЛЬНОГО </w:t>
      </w:r>
      <w:r>
        <w:rPr>
          <w:rFonts w:ascii="Arial Narrow" w:hAnsi="Arial Narrow"/>
          <w:b/>
          <w:bCs/>
          <w:sz w:val="40"/>
          <w:szCs w:val="40"/>
          <w:highlight w:val="white"/>
        </w:rPr>
        <w:t xml:space="preserve">ОКРУГА</w:t>
      </w:r>
      <w:r>
        <w:rPr>
          <w:rFonts w:ascii="Arial Narrow" w:hAnsi="Arial Narrow"/>
          <w:b/>
          <w:bCs/>
          <w:sz w:val="40"/>
          <w:szCs w:val="40"/>
          <w:highlight w:val="none"/>
        </w:rPr>
      </w:r>
      <w:r>
        <w:rPr>
          <w:rFonts w:ascii="Arial Narrow" w:hAnsi="Arial Narrow"/>
          <w:b/>
          <w:bCs/>
          <w:sz w:val="40"/>
          <w:szCs w:val="40"/>
          <w:highlight w:val="none"/>
        </w:rPr>
      </w:r>
    </w:p>
    <w:p>
      <w:pPr>
        <w:keepNext/>
        <w:spacing w:after="0" w:line="240" w:lineRule="auto"/>
        <w:jc w:val="center"/>
        <w:outlineLvl w:val="0"/>
        <w:rPr>
          <w:rFonts w:ascii="Arial Narrow" w:hAnsi="Arial Narrow"/>
          <w:b/>
          <w:bCs/>
          <w:sz w:val="40"/>
          <w:szCs w:val="40"/>
          <w:highlight w:val="white"/>
        </w:rPr>
      </w:pPr>
      <w:r>
        <w:rPr>
          <w:rFonts w:ascii="Arial Narrow" w:hAnsi="Arial Narrow"/>
          <w:b/>
          <w:bCs/>
          <w:sz w:val="40"/>
          <w:szCs w:val="40"/>
          <w:highlight w:val="none"/>
        </w:rPr>
        <w:t xml:space="preserve">БЕЛГОРОДСКОЙ ОБЛАСТИ</w:t>
      </w:r>
      <w:r>
        <w:rPr>
          <w:rFonts w:ascii="Arial Narrow" w:hAnsi="Arial Narrow"/>
          <w:b/>
          <w:bCs/>
          <w:sz w:val="40"/>
          <w:szCs w:val="40"/>
          <w:highlight w:val="white"/>
        </w:rPr>
      </w:r>
      <w:r>
        <w:rPr>
          <w:rFonts w:ascii="Arial Narrow" w:hAnsi="Arial Narrow"/>
          <w:b/>
          <w:bCs/>
          <w:sz w:val="40"/>
          <w:szCs w:val="40"/>
          <w:highlight w:val="white"/>
        </w:rPr>
      </w:r>
    </w:p>
    <w:p>
      <w:pPr>
        <w:pStyle w:val="912"/>
        <w:keepNext/>
        <w:spacing w:after="0" w:line="240" w:lineRule="auto"/>
        <w:jc w:val="center"/>
        <w:outlineLvl w:val="0"/>
        <w:rPr>
          <w:rFonts w:ascii="Arial" w:hAnsi="Arial" w:cs="Arial"/>
          <w:b/>
          <w:bCs/>
          <w:sz w:val="32"/>
          <w:szCs w:val="32"/>
          <w:highlight w:val="none"/>
        </w:rPr>
      </w:pPr>
      <w:r>
        <w:rPr>
          <w:rFonts w:ascii="Arial" w:hAnsi="Arial" w:cs="Arial"/>
          <w:b/>
          <w:bCs/>
          <w:sz w:val="32"/>
          <w:szCs w:val="32"/>
        </w:rPr>
        <w:t xml:space="preserve">П О С Т А Н О В Л Е</w:t>
      </w:r>
      <w:r>
        <w:rPr>
          <w:rFonts w:ascii="Arial" w:hAnsi="Arial" w:cs="Arial"/>
          <w:b/>
          <w:bCs/>
          <w:sz w:val="32"/>
          <w:szCs w:val="32"/>
        </w:rPr>
        <w:t xml:space="preserve"> Н И Е</w:t>
      </w:r>
      <w:r>
        <w:rPr>
          <w:rFonts w:ascii="Arial" w:hAnsi="Arial" w:cs="Arial"/>
          <w:b/>
          <w:bCs/>
          <w:sz w:val="32"/>
          <w:szCs w:val="32"/>
          <w:highlight w:val="none"/>
        </w:rPr>
      </w:r>
      <w:r>
        <w:rPr>
          <w:rFonts w:ascii="Arial" w:hAnsi="Arial" w:cs="Arial"/>
          <w:b/>
          <w:bCs/>
          <w:sz w:val="32"/>
          <w:szCs w:val="32"/>
          <w:highlight w:val="none"/>
        </w:rPr>
      </w:r>
    </w:p>
    <w:p>
      <w:pPr>
        <w:pStyle w:val="912"/>
        <w:spacing w:after="0" w:line="240" w:lineRule="auto"/>
        <w:jc w:val="center"/>
        <w:rPr>
          <w:rFonts w:ascii="Arial" w:hAnsi="Arial" w:cs="Arial"/>
          <w:b/>
          <w:sz w:val="17"/>
          <w:szCs w:val="17"/>
        </w:rPr>
      </w:pPr>
      <w:r>
        <w:rPr>
          <w:rFonts w:ascii="Arial" w:hAnsi="Arial" w:cs="Arial"/>
          <w:b/>
          <w:sz w:val="17"/>
          <w:szCs w:val="17"/>
        </w:rPr>
        <w:t xml:space="preserve">Посёлок Ивня</w:t>
      </w:r>
      <w:r>
        <w:rPr>
          <w:rFonts w:ascii="Arial" w:hAnsi="Arial" w:cs="Arial"/>
          <w:b/>
          <w:sz w:val="17"/>
          <w:szCs w:val="17"/>
        </w:rPr>
      </w:r>
      <w:r>
        <w:rPr>
          <w:rFonts w:ascii="Arial" w:hAnsi="Arial" w:cs="Arial"/>
          <w:b/>
          <w:sz w:val="17"/>
          <w:szCs w:val="17"/>
        </w:rPr>
      </w:r>
    </w:p>
    <w:p>
      <w:pPr>
        <w:pStyle w:val="912"/>
        <w:spacing w:after="0" w:line="240" w:lineRule="auto"/>
        <w:jc w:val="center"/>
        <w:rPr>
          <w:rFonts w:ascii="Arial" w:hAnsi="Arial" w:cs="Arial"/>
          <w:b/>
          <w:sz w:val="17"/>
          <w:szCs w:val="17"/>
        </w:rPr>
      </w:pPr>
      <w:r>
        <w:rPr>
          <w:rFonts w:ascii="Arial" w:hAnsi="Arial" w:cs="Arial"/>
          <w:b/>
          <w:sz w:val="17"/>
          <w:szCs w:val="17"/>
        </w:rPr>
      </w:r>
      <w:r>
        <w:rPr>
          <w:rFonts w:ascii="Arial" w:hAnsi="Arial" w:cs="Arial"/>
          <w:b/>
          <w:sz w:val="17"/>
          <w:szCs w:val="17"/>
        </w:rPr>
      </w:r>
      <w:r>
        <w:rPr>
          <w:rFonts w:ascii="Arial" w:hAnsi="Arial" w:cs="Arial"/>
          <w:b/>
          <w:sz w:val="17"/>
          <w:szCs w:val="17"/>
        </w:rPr>
      </w:r>
    </w:p>
    <w:p>
      <w:pPr>
        <w:pStyle w:val="912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tbl>
      <w:tblPr>
        <w:tblW w:w="9601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3934"/>
        <w:gridCol w:w="427"/>
        <w:gridCol w:w="2408"/>
        <w:gridCol w:w="2832"/>
      </w:tblGrid>
      <w:tr>
        <w:trPr/>
        <w:tblPrEx/>
        <w:tc>
          <w:tcPr>
            <w:tcW w:w="3934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  <w:vAlign w:val="top"/>
          </w:tcPr>
          <w:p>
            <w:pPr>
              <w:pStyle w:val="912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___________</w:t>
            </w:r>
            <w:r>
              <w:rPr>
                <w:rFonts w:ascii="Arial" w:hAnsi="Arial" w:cs="Arial"/>
                <w:sz w:val="18"/>
                <w:szCs w:val="18"/>
              </w:rPr>
              <w:t xml:space="preserve">_____</w:t>
            </w:r>
            <w:r>
              <w:rPr>
                <w:rFonts w:ascii="Arial" w:hAnsi="Arial" w:cs="Arial"/>
                <w:sz w:val="18"/>
                <w:szCs w:val="18"/>
              </w:rPr>
              <w:t xml:space="preserve">____</w:t>
            </w:r>
            <w:r>
              <w:rPr>
                <w:rFonts w:ascii="Arial" w:hAnsi="Arial" w:cs="Arial"/>
                <w:sz w:val="18"/>
                <w:szCs w:val="18"/>
              </w:rPr>
              <w:t xml:space="preserve">__</w:t>
            </w:r>
            <w:r>
              <w:rPr>
                <w:rFonts w:ascii="Arial" w:hAnsi="Arial" w:cs="Arial"/>
                <w:sz w:val="18"/>
                <w:szCs w:val="18"/>
              </w:rPr>
              <w:t xml:space="preserve">__</w:t>
            </w:r>
            <w:r>
              <w:rPr>
                <w:rFonts w:ascii="Arial" w:hAnsi="Arial" w:cs="Arial"/>
                <w:sz w:val="18"/>
                <w:szCs w:val="18"/>
              </w:rPr>
              <w:t xml:space="preserve"> 2026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г.</w: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</w:r>
          </w:p>
        </w:tc>
        <w:tc>
          <w:tcPr>
            <w:tcW w:w="2835" w:type="dxa"/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  <w:vAlign w:val="top"/>
          </w:tcPr>
          <w:p>
            <w:pPr>
              <w:pStyle w:val="912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</w:r>
          </w:p>
        </w:tc>
        <w:tc>
          <w:tcPr>
            <w:tcW w:w="2832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  <w:vAlign w:val="top"/>
          </w:tcPr>
          <w:p>
            <w:pPr>
              <w:pStyle w:val="912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№ _______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</w:r>
          </w:p>
        </w:tc>
      </w:tr>
      <w:tr>
        <w:trPr/>
        <w:tblPrEx/>
        <w:tc>
          <w:tcPr>
            <w:tcW w:w="4361" w:type="dxa"/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  <w:vAlign w:val="top"/>
          </w:tcPr>
          <w:p>
            <w:pPr>
              <w:pStyle w:val="912"/>
              <w:spacing w:after="0" w:line="240" w:lineRule="auto"/>
              <w:ind w:right="37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</w:p>
        </w:tc>
        <w:tc>
          <w:tcPr>
            <w:tcW w:w="5240" w:type="dxa"/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  <w:vAlign w:val="top"/>
          </w:tcPr>
          <w:p>
            <w:pPr>
              <w:pStyle w:val="912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</w:tbl>
    <w:p>
      <w:pPr>
        <w:pStyle w:val="912"/>
        <w:spacing w:after="0" w:line="240" w:lineRule="auto"/>
        <w:jc w:val="both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tbl>
      <w:tblPr>
        <w:tblW w:w="9604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643"/>
        <w:gridCol w:w="4961"/>
      </w:tblGrid>
      <w:tr>
        <w:trPr>
          <w:trHeight w:val="650"/>
        </w:trPr>
        <w:tblPrEx/>
        <w:tc>
          <w:tcPr>
            <w:tcW w:w="4643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  <w:vAlign w:val="top"/>
          </w:tcPr>
          <w:p>
            <w:pPr>
              <w:pStyle w:val="935"/>
              <w:spacing w:line="240" w:lineRule="auto"/>
              <w:ind w:right="-87" w:firstLine="0"/>
              <w:jc w:val="both"/>
              <w:rPr>
                <w:b/>
                <w:bCs/>
                <w:sz w:val="28"/>
                <w:szCs w:val="28"/>
                <w:highlight w:val="none"/>
                <w:lang w:eastAsia="ru-RU"/>
              </w:rPr>
            </w:pPr>
            <w:r>
              <w:rPr>
                <w:b/>
                <w:bCs/>
                <w:sz w:val="28"/>
                <w:szCs w:val="28"/>
                <w:lang w:eastAsia="ru-RU"/>
              </w:rPr>
              <w:t xml:space="preserve">О формировании и использовании премиальных выплат участникам разработки и реализации проектов</w:t>
            </w:r>
            <w:r>
              <w:rPr>
                <w:b/>
                <w:bCs/>
                <w:sz w:val="28"/>
                <w:szCs w:val="28"/>
                <w:highlight w:val="none"/>
                <w:lang w:eastAsia="ru-RU"/>
              </w:rPr>
            </w:r>
            <w:r>
              <w:rPr>
                <w:b/>
                <w:bCs/>
                <w:sz w:val="28"/>
                <w:szCs w:val="28"/>
                <w:highlight w:val="none"/>
                <w:lang w:eastAsia="ru-RU"/>
              </w:rPr>
            </w:r>
          </w:p>
        </w:tc>
        <w:tc>
          <w:tcPr>
            <w:tcW w:w="4961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  <w:vAlign w:val="top"/>
          </w:tcPr>
          <w:p>
            <w:pPr>
              <w:pStyle w:val="912"/>
              <w:spacing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</w:tr>
    </w:tbl>
    <w:p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12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В соответствии с постановлением Г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убернатора Белгородской области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9 июля 2019 года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46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«О внесении изменений в постановление Губернатора Белгородской обла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сти от 12 января 2011 года №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2»,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в целях повышения мотивации муниципальных служащих округа, замеща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ющих должности, не отнес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е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нных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должностям муниципальной службы округа,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                 а также сотрудников учреждений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и организаций,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участвующих в разработке               и реализации проектов, а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также в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 целях приведения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в соответствие                               с действующим законодательством Российской Федерации нормативных правовых актов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А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дминистрация Ивнянского муниципального округа                      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п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 о с т а н о в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л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 я е т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:</w:t>
      </w:r>
      <w:r>
        <w:rPr>
          <w:rFonts w:ascii="Times New Roman" w:hAnsi="Times New Roman" w:cs="Times New Roman"/>
          <w:b/>
          <w:sz w:val="26"/>
          <w:szCs w:val="26"/>
        </w:rPr>
      </w:r>
      <w:r>
        <w:rPr>
          <w:rFonts w:ascii="Times New Roman" w:hAnsi="Times New Roman" w:cs="Times New Roman"/>
          <w:b/>
          <w:sz w:val="26"/>
          <w:szCs w:val="26"/>
        </w:rPr>
      </w:r>
    </w:p>
    <w:p>
      <w:pPr>
        <w:tabs>
          <w:tab w:val="left" w:pos="709" w:leader="none"/>
          <w:tab w:val="left" w:pos="850" w:leader="none"/>
        </w:tabs>
        <w:spacing w:after="0" w:line="240" w:lineRule="auto"/>
        <w:ind w:left="0" w:right="0" w:firstLine="567"/>
        <w:contextualSpacing/>
        <w:jc w:val="both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</w:rPr>
        <w:t xml:space="preserve">1.Утвердить Порядок </w:t>
      </w:r>
      <w:r>
        <w:rPr>
          <w:rFonts w:ascii="Times New Roman" w:hAnsi="Times New Roman"/>
          <w:sz w:val="28"/>
          <w:szCs w:val="28"/>
        </w:rPr>
        <w:t xml:space="preserve">материального стимулирования муниципальных служащих округа, а также сотрудников учреждений и организаций, замещающих должности, не отнесенные к должностям муниципальной службы Ивнянского муниципального округа, участвующих в разработке и реализации проектов</w:t>
      </w:r>
      <w:r>
        <w:rPr>
          <w:rFonts w:ascii="Times New Roman" w:hAnsi="Times New Roman"/>
          <w:sz w:val="28"/>
          <w:szCs w:val="28"/>
        </w:rPr>
        <w:t xml:space="preserve"> (прилагается).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tabs>
          <w:tab w:val="left" w:pos="850" w:leader="none"/>
          <w:tab w:val="left" w:pos="1417" w:leader="none"/>
        </w:tabs>
        <w:spacing w:after="0" w:line="240" w:lineRule="auto"/>
        <w:ind w:left="0" w:right="0" w:firstLine="567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 w:val="0"/>
          <w:bCs w:val="0"/>
          <w:color w:val="000000" w:themeColor="text1"/>
          <w:sz w:val="28"/>
          <w:szCs w:val="28"/>
          <w:highlight w:val="none"/>
        </w:rPr>
        <w:t xml:space="preserve">2.П</w:t>
      </w:r>
      <w:r>
        <w:rPr>
          <w:rFonts w:ascii="Times New Roman" w:hAnsi="Times New Roman"/>
          <w:b w:val="0"/>
          <w:bCs w:val="0"/>
          <w:color w:val="000000" w:themeColor="text1"/>
          <w:sz w:val="28"/>
          <w:szCs w:val="28"/>
          <w:highlight w:val="none"/>
        </w:rPr>
        <w:t xml:space="preserve">ризнать утратившим силу постановление Администрации муниципального района «Ивнянский район» от 28 февраля 2011 года № 52                 «</w:t>
      </w:r>
      <w:r>
        <w:rPr>
          <w:rFonts w:ascii="Times New Roman" w:hAnsi="Times New Roman"/>
          <w:b w:val="0"/>
          <w:bCs w:val="0"/>
          <w:color w:val="000000" w:themeColor="text1"/>
          <w:sz w:val="28"/>
          <w:szCs w:val="28"/>
          <w:highlight w:val="none"/>
        </w:rPr>
        <w:t xml:space="preserve">О формировании и использовании премиальных выплат участникам разработки и реализации проектов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  <w:t xml:space="preserve">»</w:t>
      </w:r>
      <w:r>
        <w:rPr>
          <w:rFonts w:ascii="Times New Roman" w:hAnsi="Times New Roman"/>
          <w:b w:val="0"/>
          <w:bCs w:val="0"/>
          <w:color w:val="000000" w:themeColor="text1"/>
          <w:sz w:val="28"/>
          <w:szCs w:val="28"/>
          <w:highlight w:val="none"/>
        </w:rPr>
        <w:t xml:space="preserve">. </w:t>
      </w:r>
      <w:r>
        <w:rPr>
          <w:rFonts w:ascii="Times New Roman" w:hAnsi="Times New Roman"/>
          <w:color w:val="000000" w:themeColor="text1"/>
          <w:sz w:val="28"/>
          <w:szCs w:val="28"/>
        </w:rPr>
      </w:r>
      <w:r>
        <w:rPr>
          <w:rFonts w:ascii="Times New Roman" w:hAnsi="Times New Roman"/>
          <w:color w:val="000000" w:themeColor="text1"/>
          <w:sz w:val="28"/>
          <w:szCs w:val="28"/>
        </w:rPr>
      </w:r>
    </w:p>
    <w:p>
      <w:pPr>
        <w:spacing w:after="0" w:line="240" w:lineRule="auto"/>
        <w:ind w:left="0" w:right="0" w:firstLine="567"/>
        <w:contextualSpacing/>
        <w:jc w:val="both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  <w:t xml:space="preserve">3.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Контроль за исполнением постановления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возложить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на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заместителя Главы округа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руководителя аппарата Админи</w:t>
      </w:r>
      <w:r>
        <w:rPr>
          <w:rFonts w:ascii="Times New Roman" w:hAnsi="Times New Roman"/>
          <w:sz w:val="28"/>
          <w:szCs w:val="28"/>
        </w:rPr>
        <w:t xml:space="preserve">страции Ивнянского </w:t>
      </w:r>
      <w:r>
        <w:rPr>
          <w:rFonts w:ascii="Times New Roman" w:hAnsi="Times New Roman"/>
          <w:sz w:val="28"/>
          <w:szCs w:val="28"/>
        </w:rPr>
        <w:t xml:space="preserve">муниципального округа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Позднякову Н.А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.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spacing w:after="0" w:line="240" w:lineRule="auto"/>
        <w:ind w:left="0" w:right="0" w:firstLine="0"/>
        <w:contextualSpacing/>
        <w:jc w:val="both"/>
        <w:rPr>
          <w:rFonts w:ascii="Times New Roman" w:hAnsi="Times New Roman"/>
          <w:sz w:val="44"/>
          <w:szCs w:val="44"/>
        </w:rPr>
      </w:pPr>
      <w:r>
        <w:rPr>
          <w:rFonts w:ascii="Times New Roman" w:hAnsi="Times New Roman"/>
          <w:sz w:val="42"/>
          <w:szCs w:val="42"/>
          <w:highlight w:val="none"/>
        </w:rPr>
      </w:r>
      <w:r>
        <w:rPr>
          <w:rFonts w:ascii="Times New Roman" w:hAnsi="Times New Roman"/>
          <w:sz w:val="44"/>
          <w:szCs w:val="44"/>
        </w:rPr>
      </w:r>
      <w:r>
        <w:rPr>
          <w:rFonts w:ascii="Times New Roman" w:hAnsi="Times New Roman"/>
          <w:sz w:val="44"/>
          <w:szCs w:val="44"/>
        </w:rPr>
      </w:r>
    </w:p>
    <w:tbl>
      <w:tblPr>
        <w:tblW w:w="9685" w:type="dxa"/>
        <w:tblInd w:w="-37" w:type="dxa"/>
        <w:tblLayout w:type="fixed"/>
        <w:tblLook w:val="0000" w:firstRow="0" w:lastRow="0" w:firstColumn="0" w:lastColumn="0" w:noHBand="0" w:noVBand="0"/>
      </w:tblPr>
      <w:tblGrid>
        <w:gridCol w:w="4806"/>
        <w:gridCol w:w="4879"/>
      </w:tblGrid>
      <w:tr>
        <w:trPr>
          <w:trHeight w:val="331"/>
        </w:trPr>
        <w:tblPrEx/>
        <w:tc>
          <w:tcPr>
            <w:tcW w:w="4806" w:type="dxa"/>
            <w:noWrap w:val="false"/>
            <w:textDirection w:val="lrTb"/>
          </w:tcPr>
          <w:p>
            <w:pPr>
              <w:pStyle w:val="942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  <w:p>
            <w:pPr>
              <w:pStyle w:val="942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Ивнянского муниципального округа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</w:p>
          <w:p>
            <w:pPr>
              <w:pStyle w:val="942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  <w:t xml:space="preserve">Белгородской области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W w:w="4879" w:type="dxa"/>
            <w:noWrap w:val="false"/>
            <w:textDirection w:val="lrTb"/>
          </w:tcPr>
          <w:p>
            <w:pPr>
              <w:pStyle w:val="942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  <w:p>
            <w:pPr>
              <w:pStyle w:val="942"/>
              <w:ind w:left="0" w:right="-102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42"/>
              <w:ind w:left="0" w:right="40" w:firstLine="0"/>
              <w:jc w:val="right"/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И.А. Щепин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</w:p>
        </w:tc>
      </w:tr>
    </w:tbl>
    <w:tbl>
      <w:tblPr>
        <w:tblW w:w="0" w:type="auto"/>
        <w:tblInd w:w="4927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927"/>
      </w:tblGrid>
      <w:tr>
        <w:trPr/>
        <w:tblPrEx/>
        <w:tc>
          <w:tcPr>
            <w:tcW w:w="4927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  <w:vAlign w:val="top"/>
          </w:tcPr>
          <w:p>
            <w:pPr>
              <w:pStyle w:val="912"/>
              <w:widowControl w:val="off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Приложение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highlight w:val="none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highlight w:val="none"/>
              </w:rPr>
            </w:r>
          </w:p>
          <w:p>
            <w:pPr>
              <w:pStyle w:val="912"/>
              <w:widowControl w:val="off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</w:r>
            <w:r>
              <w:rPr>
                <w:rFonts w:ascii="Times New Roman" w:hAnsi="Times New Roman"/>
                <w:b/>
                <w:sz w:val="26"/>
                <w:szCs w:val="26"/>
              </w:rPr>
            </w:r>
            <w:r>
              <w:rPr>
                <w:rFonts w:ascii="Times New Roman" w:hAnsi="Times New Roman"/>
                <w:b/>
                <w:sz w:val="26"/>
                <w:szCs w:val="26"/>
              </w:rPr>
            </w:r>
          </w:p>
          <w:p>
            <w:pPr>
              <w:pStyle w:val="912"/>
              <w:widowControl w:val="off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УТВЕРЖДЕНО</w:t>
            </w:r>
            <w:r>
              <w:rPr>
                <w:rFonts w:ascii="Times New Roman" w:hAnsi="Times New Roman"/>
                <w:b/>
                <w:sz w:val="28"/>
                <w:szCs w:val="28"/>
              </w:rPr>
            </w:r>
            <w:r>
              <w:rPr>
                <w:rFonts w:ascii="Times New Roman" w:hAnsi="Times New Roman"/>
                <w:b/>
                <w:sz w:val="28"/>
                <w:szCs w:val="28"/>
              </w:rPr>
            </w:r>
          </w:p>
          <w:p>
            <w:pPr>
              <w:pStyle w:val="912"/>
              <w:widowControl w:val="off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постановлением Администрации</w:t>
            </w:r>
            <w:r>
              <w:rPr>
                <w:rFonts w:ascii="Times New Roman" w:hAnsi="Times New Roman"/>
                <w:b/>
                <w:sz w:val="28"/>
                <w:szCs w:val="28"/>
              </w:rPr>
            </w:r>
            <w:r>
              <w:rPr>
                <w:rFonts w:ascii="Times New Roman" w:hAnsi="Times New Roman"/>
                <w:b/>
                <w:sz w:val="28"/>
                <w:szCs w:val="28"/>
              </w:rPr>
            </w:r>
          </w:p>
          <w:p>
            <w:pPr>
              <w:pStyle w:val="912"/>
              <w:widowControl w:val="off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Ивнянского муниципального округа</w:t>
            </w:r>
            <w:r>
              <w:rPr>
                <w:rFonts w:ascii="Times New Roman" w:hAnsi="Times New Roman"/>
                <w:b/>
                <w:sz w:val="28"/>
                <w:szCs w:val="28"/>
              </w:rPr>
            </w:r>
            <w:r>
              <w:rPr>
                <w:rFonts w:ascii="Times New Roman" w:hAnsi="Times New Roman"/>
                <w:b/>
                <w:sz w:val="28"/>
                <w:szCs w:val="28"/>
              </w:rPr>
            </w:r>
          </w:p>
          <w:p>
            <w:pPr>
              <w:pStyle w:val="912"/>
              <w:widowControl w:val="off"/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«____»___________2026 года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№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_____</w:t>
            </w:r>
            <w:r>
              <w:rPr>
                <w:rFonts w:ascii="Times New Roman" w:hAnsi="Times New Roman"/>
                <w:b/>
                <w:sz w:val="28"/>
                <w:szCs w:val="28"/>
              </w:rPr>
            </w:r>
            <w:r>
              <w:rPr>
                <w:rFonts w:ascii="Times New Roman" w:hAnsi="Times New Roman"/>
                <w:b/>
                <w:sz w:val="28"/>
                <w:szCs w:val="28"/>
              </w:rPr>
            </w:r>
          </w:p>
        </w:tc>
      </w:tr>
    </w:tbl>
    <w:p>
      <w:pPr>
        <w:pStyle w:val="912"/>
        <w:widowControl w:val="off"/>
        <w:spacing w:line="240" w:lineRule="auto"/>
        <w:contextualSpacing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912"/>
        <w:widowControl w:val="off"/>
        <w:spacing w:line="240" w:lineRule="auto"/>
        <w:contextualSpacing/>
        <w:jc w:val="center"/>
        <w:rPr>
          <w:b/>
          <w:bCs/>
          <w:sz w:val="26"/>
          <w:szCs w:val="26"/>
        </w:rPr>
      </w:pPr>
      <w:r>
        <w:rPr>
          <w:b/>
          <w:sz w:val="26"/>
          <w:szCs w:val="26"/>
        </w:rPr>
        <w:t xml:space="preserve">  </w:t>
      </w:r>
      <w:r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    </w:t>
      </w:r>
      <w:r>
        <w:rPr>
          <w:b/>
          <w:sz w:val="26"/>
          <w:szCs w:val="26"/>
        </w:rPr>
        <w:t xml:space="preserve">         </w:t>
      </w:r>
      <w:r>
        <w:rPr>
          <w:b/>
          <w:sz w:val="26"/>
          <w:szCs w:val="26"/>
        </w:rPr>
        <w:t xml:space="preserve">                                                         </w:t>
      </w:r>
      <w:r>
        <w:rPr>
          <w:b/>
          <w:sz w:val="26"/>
          <w:szCs w:val="26"/>
        </w:rPr>
        <w:t xml:space="preserve">                               </w:t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pStyle w:val="912"/>
        <w:widowControl w:val="off"/>
        <w:spacing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  <w:t xml:space="preserve">Порядок                                                                                                         </w:t>
      </w:r>
      <w:r>
        <w:rPr>
          <w:rFonts w:ascii="Times New Roman" w:hAnsi="Times New Roman"/>
          <w:b/>
          <w:bCs/>
          <w:sz w:val="28"/>
          <w:szCs w:val="28"/>
        </w:rPr>
        <w:t xml:space="preserve">материального стимулирования муниципальных служащих округа,       </w:t>
      </w:r>
      <w:r>
        <w:rPr>
          <w:rFonts w:ascii="Times New Roman" w:hAnsi="Times New Roman"/>
          <w:b/>
          <w:bCs/>
          <w:sz w:val="28"/>
          <w:szCs w:val="28"/>
        </w:rPr>
        <w:t xml:space="preserve">            а также сотрудников учреждений и организаций, замещающих должности, не отнесенные к должностям муниципальной службы                         Ивнянского муниципального округа, участвующих в разработке                         и реализации проектов</w:t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912"/>
        <w:widowControl w:val="off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I. Общие положения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1.1. Настоящий Порядок устанавливает систему материального стимулирования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муниципальных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служащих округа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,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а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также сотрудников учреждений и организаций, замещающих должности, не отнесенные к должностям муниципальной службы округа, участвующих в разработке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и реализации проектов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1.2. Целью системы материального стимулирования участников проектов является повышение материальной заинтересованности членов команд проектов в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их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успешном завершении.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1.3. Материальное стимулирование участников проектов осуществляется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при закрытии проектов.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contextualSpacing/>
        <w:jc w:val="lef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I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I. Порядок определения размера премиальных выплат участникам проекта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 при закрытии проекта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2.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1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Утвердить базовый размер премиальной выплаты участникам проектов в размере 2500 рублей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2.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2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 Определение размеров премиальных выплат участникам проектов основывается на базовом размере премиальной выплаты и применени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поправочных коэффициентов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настояще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го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Порядк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а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2.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3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 Под базовым размером премиальной выплаты участникам проектов понимается денежное выражение труда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муниципальных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служащих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,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                             а также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обслуживающего и вспомогательного персонала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, замещающ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его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должности,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не отнесенные к должностям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службы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округа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,                 за один восьмичасовой рабочий день участия в реализации одного проекта.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contextualSpacing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2.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4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 Предельные трудозатраты участников проектов в реализации одного проекта, подлежащие материальному стимулированию, составляют:</w:t>
      </w:r>
      <w:r>
        <w:rPr>
          <w:rFonts w:ascii="Times New Roman" w:hAnsi="Times New Roman" w:cs="Times New Roman"/>
          <w:sz w:val="28"/>
          <w:szCs w:val="24"/>
        </w:rPr>
      </w:r>
      <w:r>
        <w:rPr>
          <w:rFonts w:ascii="Times New Roman" w:hAnsi="Times New Roman" w:cs="Times New Roman"/>
          <w:sz w:val="28"/>
          <w:szCs w:val="24"/>
        </w:rPr>
      </w:r>
    </w:p>
    <w:p>
      <w:pPr>
        <w:ind w:firstLine="709"/>
        <w:contextualSpacing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–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 для куратора проекта: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не более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30 дней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в год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при участии в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1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проекте,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не более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20 дней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в год в каждом проекте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–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при участии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в 2 проектах,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не более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15 дней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в год в каждом проекте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–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при участии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в 3 и более проектах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, независимо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от его роли в других проектах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;</w:t>
      </w:r>
      <w:r>
        <w:rPr>
          <w:rFonts w:ascii="Times New Roman" w:hAnsi="Times New Roman" w:cs="Times New Roman"/>
          <w:sz w:val="28"/>
          <w:szCs w:val="24"/>
        </w:rPr>
      </w:r>
      <w:r>
        <w:rPr>
          <w:rFonts w:ascii="Times New Roman" w:hAnsi="Times New Roman" w:cs="Times New Roman"/>
          <w:sz w:val="28"/>
          <w:szCs w:val="24"/>
        </w:rPr>
      </w:r>
    </w:p>
    <w:p>
      <w:pPr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– для руководителя проекта: не более 70 дней в год при участии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в 1 проекте, не более 55 дней в год в каждом проекте – при участии                               в 2 проектах,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не более 45 дней в год в каждом проекте – при участии в 3 и более проектах, независимо от его роли в других проектах;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– для администратора проекта: не более 60 дней в год при участии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в 1 проекте, не более 50 дней в год в каждом проекте – при участии                               в 2 проектах, не более 40 дней в год в каждом проекте – при участии в 3 и более проектах, независимо от его роли в других проектах;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– для оператора мониторинга проекта: не более 15 дней в год при участии в 1 проекте, не более 10 дней в год в каждом проекте – при участии в 2 и более проектах, независимо от его роли в других проектах;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– для ответственного за блок работ: не более 40 дней в год при участии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в 1 проекте, не более 30 дней в год в каждом проекте – при участии                          в 2 проектах, не более 20 дней в год в каждом проекте – при участии в 3 и более проектах, независимо от его роли в других проектах;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для члена рабочей группы за выполнение работ: не более 40 дней в год при участии в 1 проекте, не более 35 дней в год в каждом проекте - при участии в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2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проектах, не более 30 дней в год в каждом проекте - при участии в 3 и более проектах, независим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 от его роли в других проектах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–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для члена рабочей группы за выполнение процессов: не более 20 дней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в год при участии в 1 проекте, не более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15 дней в год в каждом проекте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при участии в 2 проектах, не более 10 дней в год в каждом                                     проекте - при участии в 3 и более проектах, независимо от его роли в других проектах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В случае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,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если трудозатраты,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указанные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в итоговом отчете, превышают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предельные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трудозатраты, подлежащие материальному стимулированию по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   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соответствующей роли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,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то при определении размера премиальной выплаты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применяются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предельные трудозатраты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2.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5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Под поправочными коэффициентами, применяемыми к базовому размеру премиальной выплаты участник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у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проект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а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, понимаются повышающие или понижающие коэффициенты, учитывающие персональный вклад каждого уча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стника проекта в его реализацию.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2.5.1.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При осуществлении материального стимулирования участников проектов не учитываются трудозатраты, понесенные при выполнении работ, завершенных более чем за два месяца до утверждения плана управления проектом.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2.5.2.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При расчете премиальных выплат участнику проекта не учитывать контрольные события проекта, не исполненные в срок 2 и более раз                      и по которым своевременно не подготовлена ведомость изменений плана управления проектом.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2.5.3.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При системном нарушении со стороны участника проектной деятельности исполнительской дисциплины – не исполнении в срок контрольных событий проекта 2 и более раз, такому сотруднику может быть снижен коэффициент качества выполнения работ в проекте.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2.6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Уровень сложности проекта определяется согласно распоряжению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администрации муниципального района «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Ивнянский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район»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                                 от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20 августа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2012 года №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399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-р «Об утверждении порядка определения уровня профессионального соответствия проектных специалистов».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2.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7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 Размер премиальных выплат каждому участнику проекта определяется по следующей формуле: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РП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=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БРП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х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К</w:t>
      </w:r>
      <w:r>
        <w:rPr>
          <w:rFonts w:ascii="Times New Roman" w:hAnsi="Times New Roman" w:eastAsia="Times New Roman" w:cs="Times New Roman"/>
          <w:sz w:val="28"/>
          <w:szCs w:val="28"/>
          <w:vertAlign w:val="subscript"/>
        </w:rPr>
        <w:t xml:space="preserve">с</w:t>
      </w:r>
      <w:r>
        <w:rPr>
          <w:rFonts w:ascii="Times New Roman" w:hAnsi="Times New Roman" w:eastAsia="Times New Roman" w:cs="Times New Roman"/>
          <w:sz w:val="28"/>
          <w:szCs w:val="28"/>
          <w:vertAlign w:val="subscript"/>
        </w:rPr>
        <w:t xml:space="preserve"> 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х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К</w:t>
      </w:r>
      <w:r>
        <w:rPr>
          <w:rFonts w:ascii="Times New Roman" w:hAnsi="Times New Roman" w:eastAsia="Times New Roman" w:cs="Times New Roman"/>
          <w:sz w:val="28"/>
          <w:szCs w:val="28"/>
          <w:vertAlign w:val="subscript"/>
        </w:rPr>
        <w:t xml:space="preserve">э</w:t>
      </w:r>
      <w:r>
        <w:rPr>
          <w:rFonts w:ascii="Times New Roman" w:hAnsi="Times New Roman" w:eastAsia="Times New Roman" w:cs="Times New Roman"/>
          <w:sz w:val="28"/>
          <w:szCs w:val="28"/>
          <w:vertAlign w:val="subscript"/>
        </w:rPr>
        <w:t xml:space="preserve"> 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х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К</w:t>
      </w:r>
      <w:r>
        <w:rPr>
          <w:rFonts w:ascii="Times New Roman" w:hAnsi="Times New Roman" w:eastAsia="Times New Roman" w:cs="Times New Roman"/>
          <w:sz w:val="28"/>
          <w:szCs w:val="28"/>
          <w:vertAlign w:val="subscript"/>
        </w:rPr>
        <w:t xml:space="preserve">у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х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х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К</w:t>
      </w:r>
      <w:r>
        <w:rPr>
          <w:rFonts w:ascii="Times New Roman" w:hAnsi="Times New Roman" w:eastAsia="Times New Roman" w:cs="Times New Roman"/>
          <w:sz w:val="28"/>
          <w:szCs w:val="28"/>
          <w:vertAlign w:val="subscript"/>
        </w:rPr>
        <w:t xml:space="preserve">ру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х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К</w:t>
      </w:r>
      <w:r>
        <w:rPr>
          <w:rFonts w:ascii="Times New Roman" w:hAnsi="Times New Roman" w:eastAsia="Times New Roman" w:cs="Times New Roman"/>
          <w:sz w:val="28"/>
          <w:szCs w:val="28"/>
          <w:vertAlign w:val="subscript"/>
        </w:rPr>
        <w:t xml:space="preserve">квр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,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где: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- РП – размер премиальной выплаты участнику проекта, руб.;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- БРП – базовый размер премиальной выплаты участникам проектов, руб.;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- К</w:t>
      </w:r>
      <w:r>
        <w:rPr>
          <w:rFonts w:ascii="Times New Roman" w:hAnsi="Times New Roman" w:eastAsia="Times New Roman" w:cs="Times New Roman"/>
          <w:sz w:val="28"/>
          <w:szCs w:val="28"/>
          <w:vertAlign w:val="subscript"/>
        </w:rPr>
        <w:t xml:space="preserve">с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– коэффициент сложности проекта;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- 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К</w:t>
      </w:r>
      <w:r>
        <w:rPr>
          <w:rFonts w:ascii="Times New Roman" w:hAnsi="Times New Roman" w:eastAsia="Times New Roman" w:cs="Times New Roman"/>
          <w:sz w:val="28"/>
          <w:szCs w:val="28"/>
          <w:vertAlign w:val="subscript"/>
        </w:rPr>
        <w:t xml:space="preserve">э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– коэффициент эффективности проекта;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- К</w:t>
      </w:r>
      <w:r>
        <w:rPr>
          <w:rFonts w:ascii="Times New Roman" w:hAnsi="Times New Roman" w:eastAsia="Times New Roman" w:cs="Times New Roman"/>
          <w:sz w:val="28"/>
          <w:szCs w:val="28"/>
          <w:vertAlign w:val="subscript"/>
        </w:rPr>
        <w:t xml:space="preserve">у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– коэффициент успешности реализации проекта;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- Т – трудозатраты проектного специалиста в проекте, дней;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- К</w:t>
      </w:r>
      <w:r>
        <w:rPr>
          <w:rFonts w:ascii="Times New Roman" w:hAnsi="Times New Roman" w:eastAsia="Times New Roman" w:cs="Times New Roman"/>
          <w:sz w:val="28"/>
          <w:szCs w:val="28"/>
          <w:vertAlign w:val="subscript"/>
        </w:rPr>
        <w:t xml:space="preserve">ру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– коэффициент ролевого участия;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- 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К</w:t>
      </w:r>
      <w:r>
        <w:rPr>
          <w:rFonts w:ascii="Times New Roman" w:hAnsi="Times New Roman" w:eastAsia="Times New Roman" w:cs="Times New Roman"/>
          <w:sz w:val="28"/>
          <w:szCs w:val="28"/>
          <w:vertAlign w:val="subscript"/>
        </w:rPr>
        <w:t xml:space="preserve">квр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– коэффициент качества выполнения работ в проекте.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2.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8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 Для расчета размера премиальных выплат участнику проекта использовать следующие поправочные коэффициенты: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2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20"/>
        <w:contextualSpacing/>
        <w:rPr>
          <w:rFonts w:ascii="Times New Roman" w:hAnsi="Times New Roman" w:eastAsia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- К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оэффициент сложности проекта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</w:p>
    <w:p>
      <w:pPr>
        <w:ind w:firstLine="72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Style w:val="768"/>
        <w:tblW w:w="0" w:type="auto"/>
        <w:jc w:val="center"/>
        <w:tblLook w:val="04A0" w:firstRow="1" w:lastRow="0" w:firstColumn="1" w:lastColumn="0" w:noHBand="0" w:noVBand="1"/>
      </w:tblPr>
      <w:tblGrid>
        <w:gridCol w:w="7225"/>
        <w:gridCol w:w="2403"/>
      </w:tblGrid>
      <w:tr>
        <w:trPr>
          <w:jc w:val="center"/>
        </w:trPr>
        <w:tblPrEx/>
        <w:tc>
          <w:tcPr>
            <w:tcW w:w="7225" w:type="dxa"/>
            <w:noWrap w:val="false"/>
            <w:textDirection w:val="lrTb"/>
          </w:tcPr>
          <w:p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  <w:t xml:space="preserve">Уровень сложности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</w:p>
        </w:tc>
        <w:tc>
          <w:tcPr>
            <w:tcW w:w="2403" w:type="dxa"/>
            <w:noWrap w:val="false"/>
            <w:textDirection w:val="lrTb"/>
          </w:tcPr>
          <w:p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  <w:t xml:space="preserve">Коэффициент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  <w:t xml:space="preserve"> К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vertAlign w:val="subscript"/>
              </w:rPr>
              <w:t xml:space="preserve">с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</w:p>
        </w:tc>
      </w:tr>
      <w:tr>
        <w:trPr>
          <w:jc w:val="center"/>
        </w:trPr>
        <w:tblPrEx/>
        <w:tc>
          <w:tcPr>
            <w:tcW w:w="7225" w:type="dxa"/>
            <w:noWrap w:val="false"/>
            <w:textDirection w:val="lrTb"/>
          </w:tcPr>
          <w:p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Глобальный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403" w:type="dxa"/>
            <w:noWrap w:val="false"/>
            <w:textDirection w:val="lrTb"/>
          </w:tcPr>
          <w:p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1,5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jc w:val="center"/>
        </w:trPr>
        <w:tblPrEx/>
        <w:tc>
          <w:tcPr>
            <w:tcW w:w="7225" w:type="dxa"/>
            <w:noWrap w:val="false"/>
            <w:textDirection w:val="lrTb"/>
          </w:tcPr>
          <w:p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Высокий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403" w:type="dxa"/>
            <w:noWrap w:val="false"/>
            <w:textDirection w:val="lrTb"/>
          </w:tcPr>
          <w:p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1,2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jc w:val="center"/>
        </w:trPr>
        <w:tblPrEx/>
        <w:tc>
          <w:tcPr>
            <w:tcW w:w="7225" w:type="dxa"/>
            <w:noWrap w:val="false"/>
            <w:textDirection w:val="lrTb"/>
          </w:tcPr>
          <w:p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Выше среднего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403" w:type="dxa"/>
            <w:noWrap w:val="false"/>
            <w:textDirection w:val="lrTb"/>
          </w:tcPr>
          <w:p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1,1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jc w:val="center"/>
        </w:trPr>
        <w:tblPrEx/>
        <w:tc>
          <w:tcPr>
            <w:tcW w:w="7225" w:type="dxa"/>
            <w:noWrap w:val="false"/>
            <w:textDirection w:val="lrTb"/>
          </w:tcPr>
          <w:p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Средний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403" w:type="dxa"/>
            <w:noWrap w:val="false"/>
            <w:textDirection w:val="lrTb"/>
          </w:tcPr>
          <w:p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jc w:val="center"/>
          <w:trHeight w:val="70"/>
        </w:trPr>
        <w:tblPrEx/>
        <w:tc>
          <w:tcPr>
            <w:tcW w:w="7225" w:type="dxa"/>
            <w:noWrap w:val="false"/>
            <w:textDirection w:val="lrTb"/>
          </w:tcPr>
          <w:p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Начальный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403" w:type="dxa"/>
            <w:noWrap w:val="false"/>
            <w:textDirection w:val="lrTb"/>
          </w:tcPr>
          <w:p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0,9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ind w:left="0" w:righ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- Коэффициент эффективности проекта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</w:p>
    <w:p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pPr w:horzAnchor="text" w:tblpX="10" w:vertAnchor="text" w:tblpY="1" w:leftFromText="180" w:topFromText="0" w:rightFromText="180" w:bottomFromText="0"/>
        <w:tblW w:w="963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68"/>
        <w:gridCol w:w="3823"/>
        <w:gridCol w:w="1701"/>
        <w:gridCol w:w="1842"/>
      </w:tblGrid>
      <w:tr>
        <w:trPr>
          <w:trHeight w:val="20"/>
        </w:trPr>
        <w:tblPrEx/>
        <w:tc>
          <w:tcPr>
            <w:tcW w:w="2268" w:type="dxa"/>
            <w:tcBorders>
              <w:top w:val="single" w:color="000000" w:sz="4" w:space="0"/>
              <w:lef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  <w:t xml:space="preserve">Тип проекта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</w:p>
        </w:tc>
        <w:tc>
          <w:tcPr>
            <w:tcW w:w="3823" w:type="dxa"/>
            <w:tcBorders>
              <w:top w:val="single" w:color="000000" w:sz="4" w:space="0"/>
              <w:lef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  <w:t xml:space="preserve">Показатель (критерий)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  <w:t xml:space="preserve">Диапазон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</w:p>
          <w:p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  <w:t xml:space="preserve">значения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</w:p>
          <w:p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  <w:t xml:space="preserve">критериев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  <w:t xml:space="preserve">Коэффициент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</w:p>
          <w:p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  <w:t xml:space="preserve">К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vertAlign w:val="subscript"/>
              </w:rPr>
              <w:t xml:space="preserve">э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</w:p>
        </w:tc>
      </w:tr>
      <w:tr>
        <w:trPr>
          <w:trHeight w:val="20"/>
        </w:trPr>
        <w:tblPrEx/>
        <w:tc>
          <w:tcPr>
            <w:tcW w:w="2268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Экономический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823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Проект п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 созданию нового производства.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Прогнозируемый объем выручки после выхода на проектную мощность, млн 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до 60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0,8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trHeight w:val="20"/>
        </w:trPr>
        <w:tblPrEx/>
        <w:tc>
          <w:tcPr>
            <w:tcW w:w="2268" w:type="dxa"/>
            <w:vMerge w:val="continue"/>
            <w:tcBorders>
              <w:lef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3823" w:type="dxa"/>
            <w:vMerge w:val="continue"/>
            <w:tcBorders>
              <w:lef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от 60 до 120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0,9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trHeight w:val="20"/>
        </w:trPr>
        <w:tblPrEx/>
        <w:tc>
          <w:tcPr>
            <w:tcW w:w="2268" w:type="dxa"/>
            <w:vMerge w:val="continue"/>
            <w:tcBorders>
              <w:lef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3823" w:type="dxa"/>
            <w:vMerge w:val="continue"/>
            <w:tcBorders>
              <w:lef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от 120 до 250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trHeight w:val="20"/>
        </w:trPr>
        <w:tblPrEx/>
        <w:tc>
          <w:tcPr>
            <w:tcW w:w="2268" w:type="dxa"/>
            <w:vMerge w:val="continue"/>
            <w:tcBorders>
              <w:lef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3823" w:type="dxa"/>
            <w:vMerge w:val="continue"/>
            <w:tcBorders>
              <w:lef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от 250 до 500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1,1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trHeight w:val="190"/>
        </w:trPr>
        <w:tblPrEx/>
        <w:tc>
          <w:tcPr>
            <w:tcW w:w="2268" w:type="dxa"/>
            <w:vMerge w:val="continue"/>
            <w:tcBorders>
              <w:lef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3823" w:type="dxa"/>
            <w:vMerge w:val="continue"/>
            <w:tcBorders>
              <w:lef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от 500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1,2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trHeight w:val="342"/>
        </w:trPr>
        <w:tblPrEx/>
        <w:tc>
          <w:tcPr>
            <w:tcW w:w="2268" w:type="dxa"/>
            <w:vMerge w:val="continue"/>
            <w:tcBorders>
              <w:lef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3823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Проект, реализуемый на базе действующего производства. Прогнозируемое увеличение годового объема выручки после выхода на проектную мощность, млн 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до 60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0,8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trHeight w:val="20"/>
        </w:trPr>
        <w:tblPrEx/>
        <w:tc>
          <w:tcPr>
            <w:tcW w:w="2268" w:type="dxa"/>
            <w:vMerge w:val="continue"/>
            <w:tcBorders>
              <w:lef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3823" w:type="dxa"/>
            <w:vMerge w:val="continue"/>
            <w:tcBorders>
              <w:lef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от 60 до 120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0,9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trHeight w:val="20"/>
        </w:trPr>
        <w:tblPrEx/>
        <w:tc>
          <w:tcPr>
            <w:tcW w:w="2268" w:type="dxa"/>
            <w:vMerge w:val="continue"/>
            <w:tcBorders>
              <w:lef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3823" w:type="dxa"/>
            <w:vMerge w:val="continue"/>
            <w:tcBorders>
              <w:lef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от 120 до 250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trHeight w:val="20"/>
        </w:trPr>
        <w:tblPrEx/>
        <w:tc>
          <w:tcPr>
            <w:tcW w:w="2268" w:type="dxa"/>
            <w:vMerge w:val="continue"/>
            <w:tcBorders>
              <w:lef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3823" w:type="dxa"/>
            <w:vMerge w:val="continue"/>
            <w:tcBorders>
              <w:lef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от 250 до 500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1,1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trHeight w:val="20"/>
        </w:trPr>
        <w:tblPrEx/>
        <w:tc>
          <w:tcPr>
            <w:tcW w:w="2268" w:type="dxa"/>
            <w:vMerge w:val="continue"/>
            <w:tcBorders>
              <w:lef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3823" w:type="dxa"/>
            <w:vMerge w:val="continue"/>
            <w:tcBorders>
              <w:lef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от 500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1,2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trHeight w:val="20"/>
        </w:trPr>
        <w:tblPrEx/>
        <w:tc>
          <w:tcPr>
            <w:tcW w:w="2268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Социальный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823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Охват населения социальными благами за 1 год, тыс. чел.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до 5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0,8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trHeight w:val="20"/>
        </w:trPr>
        <w:tblPrEx/>
        <w:tc>
          <w:tcPr>
            <w:tcW w:w="2268" w:type="dxa"/>
            <w:vMerge w:val="continue"/>
            <w:tcBorders>
              <w:lef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3823" w:type="dxa"/>
            <w:vMerge w:val="continue"/>
            <w:tcBorders>
              <w:lef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от 5 до 10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0,9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trHeight w:val="20"/>
        </w:trPr>
        <w:tblPrEx/>
        <w:tc>
          <w:tcPr>
            <w:tcW w:w="2268" w:type="dxa"/>
            <w:vMerge w:val="continue"/>
            <w:tcBorders>
              <w:lef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3823" w:type="dxa"/>
            <w:vMerge w:val="continue"/>
            <w:tcBorders>
              <w:lef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от 10 до 20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trHeight w:val="20"/>
        </w:trPr>
        <w:tblPrEx/>
        <w:tc>
          <w:tcPr>
            <w:tcW w:w="2268" w:type="dxa"/>
            <w:vMerge w:val="continue"/>
            <w:tcBorders>
              <w:lef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3823" w:type="dxa"/>
            <w:vMerge w:val="continue"/>
            <w:tcBorders>
              <w:lef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от 20 до 50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1,1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trHeight w:val="20"/>
        </w:trPr>
        <w:tblPrEx/>
        <w:tc>
          <w:tcPr>
            <w:tcW w:w="2268" w:type="dxa"/>
            <w:vMerge w:val="continue"/>
            <w:tcBorders>
              <w:lef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3823" w:type="dxa"/>
            <w:vMerge w:val="continue"/>
            <w:tcBorders>
              <w:lef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от 50 до 100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1,2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trHeight w:val="342"/>
        </w:trPr>
        <w:tblPrEx/>
        <w:tc>
          <w:tcPr>
            <w:tcW w:w="2268" w:type="dxa"/>
            <w:vMerge w:val="continue"/>
            <w:tcBorders>
              <w:lef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3823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Участие населения в мероприятиях проекта, тыс. чел.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ind w:firstLine="708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до 5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0,8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trHeight w:val="20"/>
        </w:trPr>
        <w:tblPrEx/>
        <w:tc>
          <w:tcPr>
            <w:tcW w:w="2268" w:type="dxa"/>
            <w:vMerge w:val="continue"/>
            <w:tcBorders>
              <w:lef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3823" w:type="dxa"/>
            <w:vMerge w:val="continue"/>
            <w:tcBorders>
              <w:lef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от 5 до 10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0,9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trHeight w:val="20"/>
        </w:trPr>
        <w:tblPrEx/>
        <w:tc>
          <w:tcPr>
            <w:tcW w:w="2268" w:type="dxa"/>
            <w:vMerge w:val="continue"/>
            <w:tcBorders>
              <w:lef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3823" w:type="dxa"/>
            <w:vMerge w:val="continue"/>
            <w:tcBorders>
              <w:lef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от 10 до 20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trHeight w:val="20"/>
        </w:trPr>
        <w:tblPrEx/>
        <w:tc>
          <w:tcPr>
            <w:tcW w:w="2268" w:type="dxa"/>
            <w:vMerge w:val="continue"/>
            <w:tcBorders>
              <w:lef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3823" w:type="dxa"/>
            <w:vMerge w:val="continue"/>
            <w:tcBorders>
              <w:lef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от 20 до 35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1,1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trHeight w:val="20"/>
        </w:trPr>
        <w:tblPrEx/>
        <w:tc>
          <w:tcPr>
            <w:tcW w:w="2268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3823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от 35 до 50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1,2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trHeight w:val="20"/>
        </w:trPr>
        <w:tblPrEx/>
        <w:tc>
          <w:tcPr>
            <w:tcW w:w="226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Организационный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82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Создание и оптимизация деятельности организационных структур, тыс. чел.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до 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0,8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trHeight w:val="20"/>
        </w:trPr>
        <w:tblPrEx/>
        <w:tc>
          <w:tcPr>
            <w:tcW w:w="2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38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от 1 до 3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0,9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trHeight w:val="20"/>
        </w:trPr>
        <w:tblPrEx/>
        <w:tc>
          <w:tcPr>
            <w:tcW w:w="2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38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от 3 до 7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trHeight w:val="20"/>
        </w:trPr>
        <w:tblPrEx/>
        <w:tc>
          <w:tcPr>
            <w:tcW w:w="2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38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от 7 до 10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1,1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trHeight w:val="20"/>
        </w:trPr>
        <w:tblPrEx/>
        <w:tc>
          <w:tcPr>
            <w:tcW w:w="2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38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от 10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1,2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trHeight w:val="20"/>
        </w:trPr>
        <w:tblPrEx/>
        <w:tc>
          <w:tcPr>
            <w:tcW w:w="2268" w:type="dxa"/>
            <w:vMerge w:val="continue"/>
            <w:tcBorders>
              <w:top w:val="single" w:color="000000" w:sz="4" w:space="0"/>
              <w:lef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3823" w:type="dxa"/>
            <w:tcBorders>
              <w:top w:val="single" w:color="000000" w:sz="4" w:space="0"/>
              <w:lef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Оптимизация деятельности организационных структур, направленная на профилактику негативного воздействия на окружающую среду, чел.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от 50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trHeight w:val="20"/>
        </w:trPr>
        <w:tblPrEx/>
        <w:tc>
          <w:tcPr>
            <w:tcW w:w="2268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Технический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823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Бюджет проекта, млн 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до 60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0,8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trHeight w:val="20"/>
        </w:trPr>
        <w:tblPrEx/>
        <w:tc>
          <w:tcPr>
            <w:tcW w:w="2268" w:type="dxa"/>
            <w:vMerge w:val="continue"/>
            <w:tcBorders>
              <w:lef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3823" w:type="dxa"/>
            <w:vMerge w:val="continue"/>
            <w:tcBorders>
              <w:lef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от 60 до 120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0,9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trHeight w:val="20"/>
        </w:trPr>
        <w:tblPrEx/>
        <w:tc>
          <w:tcPr>
            <w:tcW w:w="2268" w:type="dxa"/>
            <w:vMerge w:val="continue"/>
            <w:tcBorders>
              <w:lef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3823" w:type="dxa"/>
            <w:vMerge w:val="continue"/>
            <w:tcBorders>
              <w:lef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от 120 до 250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trHeight w:val="20"/>
        </w:trPr>
        <w:tblPrEx/>
        <w:tc>
          <w:tcPr>
            <w:tcW w:w="2268" w:type="dxa"/>
            <w:vMerge w:val="continue"/>
            <w:tcBorders>
              <w:lef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3823" w:type="dxa"/>
            <w:vMerge w:val="continue"/>
            <w:tcBorders>
              <w:lef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от 250 до 500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1,1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trHeight w:val="20"/>
        </w:trPr>
        <w:tblPrEx/>
        <w:tc>
          <w:tcPr>
            <w:tcW w:w="2268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3823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от 500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1,2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trHeight w:val="20"/>
        </w:trPr>
        <w:tblPrEx/>
        <w:tc>
          <w:tcPr>
            <w:tcW w:w="2268" w:type="dxa"/>
            <w:vMerge w:val="restart"/>
            <w:tcBorders>
              <w:lef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Бережливый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823" w:type="dxa"/>
            <w:vMerge w:val="restart"/>
            <w:tcBorders>
              <w:lef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Эффективность, руб.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vertAlign w:val="superscript"/>
              </w:rPr>
              <w:t xml:space="preserve">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от 500 000 до 3 000 000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0,8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trHeight w:val="20"/>
        </w:trPr>
        <w:tblPrEx/>
        <w:tc>
          <w:tcPr>
            <w:tcW w:w="2268" w:type="dxa"/>
            <w:vMerge w:val="continue"/>
            <w:tcBorders>
              <w:lef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3823" w:type="dxa"/>
            <w:vMerge w:val="continue"/>
            <w:tcBorders>
              <w:lef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от 3 000 000 до 5 000 000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0,9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trHeight w:val="20"/>
        </w:trPr>
        <w:tblPrEx/>
        <w:tc>
          <w:tcPr>
            <w:tcW w:w="2268" w:type="dxa"/>
            <w:vMerge w:val="continue"/>
            <w:tcBorders>
              <w:lef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3823" w:type="dxa"/>
            <w:vMerge w:val="continue"/>
            <w:tcBorders>
              <w:lef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от 5 000 000 до 10 000 000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trHeight w:val="20"/>
        </w:trPr>
        <w:tblPrEx/>
        <w:tc>
          <w:tcPr>
            <w:tcW w:w="2268" w:type="dxa"/>
            <w:vMerge w:val="continue"/>
            <w:tcBorders>
              <w:lef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3823" w:type="dxa"/>
            <w:vMerge w:val="continue"/>
            <w:tcBorders>
              <w:lef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от 10 000 000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до 15 000 000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1,1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trHeight w:val="20"/>
        </w:trPr>
        <w:tblPrEx/>
        <w:tc>
          <w:tcPr>
            <w:tcW w:w="2268" w:type="dxa"/>
            <w:vMerge w:val="continue"/>
            <w:tcBorders>
              <w:lef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3823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от 15 000 000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1,2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trHeight w:val="342"/>
        </w:trPr>
        <w:tblPrEx/>
        <w:tc>
          <w:tcPr>
            <w:tcW w:w="2268" w:type="dxa"/>
            <w:vMerge w:val="continue"/>
            <w:tcBorders>
              <w:lef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3823" w:type="dxa"/>
            <w:vMerge w:val="restart"/>
            <w:tcBorders>
              <w:lef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Эффективность, % кадровой оптимизации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vertAlign w:val="superscript"/>
              </w:rPr>
              <w:t xml:space="preserve">2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от 1 до 5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0,8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trHeight w:val="20"/>
        </w:trPr>
        <w:tblPrEx/>
        <w:tc>
          <w:tcPr>
            <w:tcW w:w="2268" w:type="dxa"/>
            <w:vMerge w:val="continue"/>
            <w:tcBorders>
              <w:lef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3823" w:type="dxa"/>
            <w:vMerge w:val="continue"/>
            <w:tcBorders>
              <w:lef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от 5 до 10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0,9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trHeight w:val="20"/>
        </w:trPr>
        <w:tblPrEx/>
        <w:tc>
          <w:tcPr>
            <w:tcW w:w="2268" w:type="dxa"/>
            <w:vMerge w:val="continue"/>
            <w:tcBorders>
              <w:lef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3823" w:type="dxa"/>
            <w:vMerge w:val="continue"/>
            <w:tcBorders>
              <w:lef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от 10 до 15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trHeight w:val="20"/>
        </w:trPr>
        <w:tblPrEx/>
        <w:tc>
          <w:tcPr>
            <w:tcW w:w="2268" w:type="dxa"/>
            <w:vMerge w:val="continue"/>
            <w:tcBorders>
              <w:lef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3823" w:type="dxa"/>
            <w:vMerge w:val="continue"/>
            <w:tcBorders>
              <w:lef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от 15 до 20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1,1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trHeight w:val="20"/>
        </w:trPr>
        <w:tblPrEx/>
        <w:tc>
          <w:tcPr>
            <w:tcW w:w="2268" w:type="dxa"/>
            <w:vMerge w:val="continue"/>
            <w:tcBorders>
              <w:lef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3823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от 20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1,2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trHeight w:val="342"/>
        </w:trPr>
        <w:tblPrEx/>
        <w:tc>
          <w:tcPr>
            <w:tcW w:w="2268" w:type="dxa"/>
            <w:vMerge w:val="continue"/>
            <w:tcBorders>
              <w:lef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3823" w:type="dxa"/>
            <w:vMerge w:val="restart"/>
            <w:tcBorders>
              <w:lef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Эффективность, % трудодни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vertAlign w:val="superscript"/>
              </w:rPr>
              <w:t xml:space="preserve">3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от 5 до 10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0,8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trHeight w:val="20"/>
        </w:trPr>
        <w:tblPrEx/>
        <w:tc>
          <w:tcPr>
            <w:tcW w:w="2268" w:type="dxa"/>
            <w:vMerge w:val="continue"/>
            <w:tcBorders>
              <w:lef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3823" w:type="dxa"/>
            <w:vMerge w:val="continue"/>
            <w:tcBorders>
              <w:lef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от 10 до 20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0,9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trHeight w:val="20"/>
        </w:trPr>
        <w:tblPrEx/>
        <w:tc>
          <w:tcPr>
            <w:tcW w:w="2268" w:type="dxa"/>
            <w:vMerge w:val="continue"/>
            <w:tcBorders>
              <w:lef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3823" w:type="dxa"/>
            <w:vMerge w:val="continue"/>
            <w:tcBorders>
              <w:lef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от 20 до 35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trHeight w:val="20"/>
        </w:trPr>
        <w:tblPrEx/>
        <w:tc>
          <w:tcPr>
            <w:tcW w:w="2268" w:type="dxa"/>
            <w:vMerge w:val="continue"/>
            <w:tcBorders>
              <w:lef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3823" w:type="dxa"/>
            <w:vMerge w:val="continue"/>
            <w:tcBorders>
              <w:lef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от 35 до 50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1,1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trHeight w:val="20"/>
        </w:trPr>
        <w:tblPrEx/>
        <w:tc>
          <w:tcPr>
            <w:tcW w:w="2268" w:type="dxa"/>
            <w:vMerge w:val="continue"/>
            <w:tcBorders>
              <w:lef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3823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от 50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1,2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trHeight w:val="342"/>
        </w:trPr>
        <w:tblPrEx/>
        <w:tc>
          <w:tcPr>
            <w:tcW w:w="2268" w:type="dxa"/>
            <w:vMerge w:val="continue"/>
            <w:tcBorders>
              <w:lef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3823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Эффективность, % длительности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vertAlign w:val="superscript"/>
              </w:rPr>
              <w:t xml:space="preserve">4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от 5 до 10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0,8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trHeight w:val="20"/>
        </w:trPr>
        <w:tblPrEx/>
        <w:tc>
          <w:tcPr>
            <w:tcW w:w="2268" w:type="dxa"/>
            <w:vMerge w:val="continue"/>
            <w:tcBorders>
              <w:lef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3823" w:type="dxa"/>
            <w:vMerge w:val="continue"/>
            <w:tcBorders>
              <w:lef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от 10 до 20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0,9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trHeight w:val="20"/>
        </w:trPr>
        <w:tblPrEx/>
        <w:tc>
          <w:tcPr>
            <w:tcW w:w="2268" w:type="dxa"/>
            <w:vMerge w:val="continue"/>
            <w:tcBorders>
              <w:lef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3823" w:type="dxa"/>
            <w:vMerge w:val="continue"/>
            <w:tcBorders>
              <w:lef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от 20 до 35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trHeight w:val="20"/>
        </w:trPr>
        <w:tblPrEx/>
        <w:tc>
          <w:tcPr>
            <w:tcW w:w="2268" w:type="dxa"/>
            <w:vMerge w:val="continue"/>
            <w:tcBorders>
              <w:lef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3823" w:type="dxa"/>
            <w:vMerge w:val="continue"/>
            <w:tcBorders>
              <w:lef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от 35 до 50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1,1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trHeight w:val="20"/>
        </w:trPr>
        <w:tblPrEx/>
        <w:tc>
          <w:tcPr>
            <w:tcW w:w="2268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3823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от 50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1,2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851"/>
        <w:contextualSpacing/>
        <w:jc w:val="both"/>
        <w:rPr>
          <w:rFonts w:ascii="Times New Roman" w:hAnsi="Times New Roman" w:eastAsia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(</w:t>
      </w:r>
      <w:r>
        <w:rPr>
          <w:rFonts w:ascii="Times New Roman" w:hAnsi="Times New Roman" w:eastAsia="Times New Roman" w:cs="Times New Roman"/>
          <w:sz w:val="28"/>
          <w:szCs w:val="28"/>
          <w:vertAlign w:val="superscript"/>
        </w:rPr>
        <w:t xml:space="preserve">1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)</w:t>
      </w:r>
      <w:r>
        <w:rPr>
          <w:rFonts w:ascii="Times New Roman" w:hAnsi="Times New Roman" w:eastAsia="Times New Roman" w:cs="Times New Roman"/>
          <w:sz w:val="28"/>
          <w:szCs w:val="28"/>
        </w:rPr>
        <w:tab/>
        <w:t xml:space="preserve">-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направлен на повышение экономической эффективности функционирования организации и ее от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дельных структур, подразделений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;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</w:p>
    <w:p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(</w:t>
      </w:r>
      <w:r>
        <w:rPr>
          <w:rFonts w:ascii="Times New Roman" w:hAnsi="Times New Roman" w:eastAsia="Times New Roman" w:cs="Times New Roman"/>
          <w:sz w:val="28"/>
          <w:szCs w:val="28"/>
          <w:vertAlign w:val="superscript"/>
        </w:rPr>
        <w:t xml:space="preserve">2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)</w:t>
      </w:r>
      <w:r>
        <w:rPr>
          <w:rFonts w:ascii="Times New Roman" w:hAnsi="Times New Roman" w:eastAsia="Times New Roman" w:cs="Times New Roman"/>
          <w:sz w:val="28"/>
          <w:szCs w:val="28"/>
        </w:rPr>
        <w:tab/>
        <w:t xml:space="preserve">-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ориентирован на оптимизацию персонала организации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и её от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дельных структур, подразделений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(</w:t>
      </w:r>
      <w:r>
        <w:rPr>
          <w:rFonts w:ascii="Times New Roman" w:hAnsi="Times New Roman" w:eastAsia="Times New Roman" w:cs="Times New Roman"/>
          <w:sz w:val="28"/>
          <w:szCs w:val="28"/>
          <w:vertAlign w:val="superscript"/>
        </w:rPr>
        <w:t xml:space="preserve">3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)</w:t>
      </w:r>
      <w:r>
        <w:rPr>
          <w:rFonts w:ascii="Times New Roman" w:hAnsi="Times New Roman" w:eastAsia="Times New Roman" w:cs="Times New Roman"/>
          <w:sz w:val="28"/>
          <w:szCs w:val="28"/>
        </w:rPr>
        <w:tab/>
        <w:t xml:space="preserve">-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направлен на сокращение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трудозатрат по выполнению работ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(</w:t>
      </w:r>
      <w:r>
        <w:rPr>
          <w:rFonts w:ascii="Times New Roman" w:hAnsi="Times New Roman" w:eastAsia="Times New Roman" w:cs="Times New Roman"/>
          <w:sz w:val="28"/>
          <w:szCs w:val="28"/>
          <w:vertAlign w:val="superscript"/>
        </w:rPr>
        <w:t xml:space="preserve">4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)</w:t>
      </w:r>
      <w:r>
        <w:rPr>
          <w:rFonts w:ascii="Times New Roman" w:hAnsi="Times New Roman" w:eastAsia="Times New Roman" w:cs="Times New Roman"/>
          <w:sz w:val="28"/>
          <w:szCs w:val="28"/>
        </w:rPr>
        <w:tab/>
        <w:t xml:space="preserve">-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ориентирован на оптимизацию и/или техническое усовершенствование выполняемых процессов.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-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К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оэффициент успешности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реализации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проекта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Style w:val="768"/>
        <w:tblW w:w="0" w:type="auto"/>
        <w:tblLook w:val="04A0" w:firstRow="1" w:lastRow="0" w:firstColumn="1" w:lastColumn="0" w:noHBand="0" w:noVBand="1"/>
      </w:tblPr>
      <w:tblGrid>
        <w:gridCol w:w="7083"/>
        <w:gridCol w:w="2545"/>
      </w:tblGrid>
      <w:tr>
        <w:trPr/>
        <w:tblPrEx/>
        <w:tc>
          <w:tcPr>
            <w:tcW w:w="7083" w:type="dxa"/>
            <w:noWrap w:val="false"/>
            <w:textDirection w:val="lrTb"/>
          </w:tcPr>
          <w:p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  <w:t xml:space="preserve">Статус реализации проекта </w:t>
            </w:r>
            <w:r>
              <w:rPr>
                <w:rFonts w:ascii="Times New Roman" w:hAnsi="Times New Roman" w:cs="Times New Roman"/>
                <w:b/>
                <w:sz w:val="28"/>
                <w:szCs w:val="24"/>
              </w:rPr>
            </w:r>
            <w:r>
              <w:rPr>
                <w:rFonts w:ascii="Times New Roman" w:hAnsi="Times New Roman" w:cs="Times New Roman"/>
                <w:b/>
                <w:sz w:val="28"/>
                <w:szCs w:val="24"/>
              </w:rPr>
            </w:r>
          </w:p>
        </w:tc>
        <w:tc>
          <w:tcPr>
            <w:tcW w:w="2545" w:type="dxa"/>
            <w:noWrap w:val="false"/>
            <w:textDirection w:val="lrTb"/>
          </w:tcPr>
          <w:p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  <w:t xml:space="preserve">Коэффициент 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  <w:t xml:space="preserve">К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vertAlign w:val="subscript"/>
              </w:rPr>
              <w:t xml:space="preserve">у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4"/>
              </w:rPr>
            </w:r>
            <w:r>
              <w:rPr>
                <w:rFonts w:ascii="Times New Roman" w:hAnsi="Times New Roman" w:cs="Times New Roman"/>
                <w:b/>
                <w:sz w:val="28"/>
                <w:szCs w:val="24"/>
              </w:rPr>
            </w:r>
          </w:p>
        </w:tc>
      </w:tr>
      <w:tr>
        <w:trPr/>
        <w:tblPrEx/>
        <w:tc>
          <w:tcPr>
            <w:tcW w:w="7083" w:type="dxa"/>
            <w:noWrap w:val="false"/>
            <w:textDirection w:val="lrTb"/>
          </w:tcPr>
          <w:p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Успешно без отклонений </w:t>
            </w:r>
            <w:r>
              <w:rPr>
                <w:rFonts w:ascii="Times New Roman" w:hAnsi="Times New Roman" w:cs="Times New Roman"/>
                <w:sz w:val="28"/>
                <w:szCs w:val="24"/>
              </w:rPr>
            </w:r>
            <w:r>
              <w:rPr>
                <w:rFonts w:ascii="Times New Roman" w:hAnsi="Times New Roman" w:cs="Times New Roman"/>
                <w:sz w:val="28"/>
                <w:szCs w:val="24"/>
              </w:rPr>
            </w:r>
          </w:p>
        </w:tc>
        <w:tc>
          <w:tcPr>
            <w:tcW w:w="2545" w:type="dxa"/>
            <w:noWrap w:val="false"/>
            <w:textDirection w:val="lrTb"/>
          </w:tcPr>
          <w:p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1 </w:t>
            </w:r>
            <w:r>
              <w:rPr>
                <w:rFonts w:ascii="Times New Roman" w:hAnsi="Times New Roman" w:cs="Times New Roman"/>
                <w:sz w:val="28"/>
                <w:szCs w:val="24"/>
              </w:rPr>
            </w:r>
            <w:r>
              <w:rPr>
                <w:rFonts w:ascii="Times New Roman" w:hAnsi="Times New Roman" w:cs="Times New Roman"/>
                <w:sz w:val="28"/>
                <w:szCs w:val="24"/>
              </w:rPr>
            </w:r>
          </w:p>
        </w:tc>
      </w:tr>
      <w:tr>
        <w:trPr/>
        <w:tblPrEx/>
        <w:tc>
          <w:tcPr>
            <w:tcW w:w="7083" w:type="dxa"/>
            <w:noWrap w:val="false"/>
            <w:textDirection w:val="lrTb"/>
          </w:tcPr>
          <w:p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Успешно с незначительными отклонениями </w:t>
            </w:r>
            <w:r>
              <w:rPr>
                <w:rFonts w:ascii="Times New Roman" w:hAnsi="Times New Roman" w:cs="Times New Roman"/>
                <w:sz w:val="28"/>
                <w:szCs w:val="24"/>
              </w:rPr>
            </w:r>
            <w:r>
              <w:rPr>
                <w:rFonts w:ascii="Times New Roman" w:hAnsi="Times New Roman" w:cs="Times New Roman"/>
                <w:sz w:val="28"/>
                <w:szCs w:val="24"/>
              </w:rPr>
            </w:r>
          </w:p>
        </w:tc>
        <w:tc>
          <w:tcPr>
            <w:tcW w:w="2545" w:type="dxa"/>
            <w:noWrap w:val="false"/>
            <w:textDirection w:val="lrTb"/>
          </w:tcPr>
          <w:p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0,9 </w:t>
            </w:r>
            <w:r>
              <w:rPr>
                <w:rFonts w:ascii="Times New Roman" w:hAnsi="Times New Roman" w:cs="Times New Roman"/>
                <w:sz w:val="28"/>
                <w:szCs w:val="24"/>
              </w:rPr>
            </w:r>
            <w:r>
              <w:rPr>
                <w:rFonts w:ascii="Times New Roman" w:hAnsi="Times New Roman" w:cs="Times New Roman"/>
                <w:sz w:val="28"/>
                <w:szCs w:val="24"/>
              </w:rPr>
            </w:r>
          </w:p>
        </w:tc>
      </w:tr>
      <w:tr>
        <w:trPr/>
        <w:tblPrEx/>
        <w:tc>
          <w:tcPr>
            <w:tcW w:w="7083" w:type="dxa"/>
            <w:noWrap w:val="false"/>
            <w:textDirection w:val="lrTb"/>
          </w:tcPr>
          <w:p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Успешно со значительными отклонениями </w:t>
            </w:r>
            <w:r>
              <w:rPr>
                <w:rFonts w:ascii="Times New Roman" w:hAnsi="Times New Roman" w:cs="Times New Roman"/>
                <w:sz w:val="28"/>
                <w:szCs w:val="24"/>
              </w:rPr>
            </w:r>
            <w:r>
              <w:rPr>
                <w:rFonts w:ascii="Times New Roman" w:hAnsi="Times New Roman" w:cs="Times New Roman"/>
                <w:sz w:val="28"/>
                <w:szCs w:val="24"/>
              </w:rPr>
            </w:r>
          </w:p>
        </w:tc>
        <w:tc>
          <w:tcPr>
            <w:tcW w:w="2545" w:type="dxa"/>
            <w:noWrap w:val="false"/>
            <w:textDirection w:val="lrTb"/>
          </w:tcPr>
          <w:p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0,8 </w:t>
            </w:r>
            <w:r>
              <w:rPr>
                <w:rFonts w:ascii="Times New Roman" w:hAnsi="Times New Roman" w:cs="Times New Roman"/>
                <w:sz w:val="28"/>
                <w:szCs w:val="24"/>
              </w:rPr>
            </w:r>
            <w:r>
              <w:rPr>
                <w:rFonts w:ascii="Times New Roman" w:hAnsi="Times New Roman" w:cs="Times New Roman"/>
                <w:sz w:val="28"/>
                <w:szCs w:val="24"/>
              </w:rPr>
            </w:r>
          </w:p>
        </w:tc>
      </w:tr>
    </w:tbl>
    <w:p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-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К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оэффициент ролевого участия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W w:w="9624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37"/>
        <w:gridCol w:w="3403"/>
        <w:gridCol w:w="2784"/>
      </w:tblGrid>
      <w:tr>
        <w:trPr>
          <w:trHeight w:val="337" w:hRule="exact"/>
        </w:trPr>
        <w:tblPrEx/>
        <w:tc>
          <w:tcPr>
            <w:tcW w:w="6840" w:type="dxa"/>
            <w:gridSpan w:val="2"/>
            <w:tcBorders>
              <w:top w:val="single" w:color="000000" w:sz="4" w:space="0"/>
              <w:lef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  <w:t xml:space="preserve">Роль в проекте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</w:p>
        </w:tc>
        <w:tc>
          <w:tcPr>
            <w:tcW w:w="2784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  <w:t xml:space="preserve">Коэффициент К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vertAlign w:val="subscript"/>
              </w:rPr>
              <w:t xml:space="preserve">ру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</w:p>
        </w:tc>
      </w:tr>
      <w:tr>
        <w:trPr>
          <w:trHeight w:val="350" w:hRule="exact"/>
        </w:trPr>
        <w:tblPrEx/>
        <w:tc>
          <w:tcPr>
            <w:tcW w:w="6840" w:type="dxa"/>
            <w:gridSpan w:val="2"/>
            <w:tcBorders>
              <w:top w:val="single" w:color="000000" w:sz="4" w:space="0"/>
              <w:lef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Куратор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784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trHeight w:val="355" w:hRule="exact"/>
        </w:trPr>
        <w:tblPrEx/>
        <w:tc>
          <w:tcPr>
            <w:tcW w:w="6840" w:type="dxa"/>
            <w:gridSpan w:val="2"/>
            <w:tcBorders>
              <w:top w:val="single" w:color="000000" w:sz="4" w:space="0"/>
              <w:lef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Руководитель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784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0,8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trHeight w:val="355" w:hRule="exact"/>
        </w:trPr>
        <w:tblPrEx/>
        <w:tc>
          <w:tcPr>
            <w:tcW w:w="6840" w:type="dxa"/>
            <w:gridSpan w:val="2"/>
            <w:tcBorders>
              <w:top w:val="single" w:color="000000" w:sz="4" w:space="0"/>
              <w:lef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Администратор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784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0,6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trHeight w:val="355" w:hRule="exact"/>
        </w:trPr>
        <w:tblPrEx/>
        <w:tc>
          <w:tcPr>
            <w:tcW w:w="6840" w:type="dxa"/>
            <w:gridSpan w:val="2"/>
            <w:tcBorders>
              <w:top w:val="single" w:color="000000" w:sz="4" w:space="0"/>
              <w:lef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Ответственный за блок работ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784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0,5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trHeight w:val="360" w:hRule="exact"/>
        </w:trPr>
        <w:tblPrEx/>
        <w:tc>
          <w:tcPr>
            <w:tcW w:w="3437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Член рабочей группы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403" w:type="dxa"/>
            <w:tcBorders>
              <w:top w:val="single" w:color="000000" w:sz="4" w:space="0"/>
              <w:lef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за выполнение работ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784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0,6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trHeight w:val="350" w:hRule="exact"/>
        </w:trPr>
        <w:tblPrEx/>
        <w:tc>
          <w:tcPr>
            <w:tcW w:w="3437" w:type="dxa"/>
            <w:vMerge w:val="continue"/>
            <w:tcBorders>
              <w:lef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3403" w:type="dxa"/>
            <w:tcBorders>
              <w:top w:val="single" w:color="000000" w:sz="4" w:space="0"/>
              <w:lef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за выполнение процессов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784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0,4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trHeight w:val="374" w:hRule="exact"/>
        </w:trPr>
        <w:tblPrEx/>
        <w:tc>
          <w:tcPr>
            <w:tcW w:w="68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  <w:t xml:space="preserve">Оператор мониторинга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tcW w:w="2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  <w:t xml:space="preserve">0,3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r>
          </w:p>
        </w:tc>
      </w:tr>
    </w:tbl>
    <w:p>
      <w:pPr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-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К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оэффициент качества выполнения работ в проекте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tbl>
      <w:tblPr>
        <w:tblStyle w:val="768"/>
        <w:tblW w:w="0" w:type="auto"/>
        <w:tblLook w:val="04A0" w:firstRow="1" w:lastRow="0" w:firstColumn="1" w:lastColumn="0" w:noHBand="0" w:noVBand="1"/>
      </w:tblPr>
      <w:tblGrid>
        <w:gridCol w:w="6941"/>
        <w:gridCol w:w="2687"/>
      </w:tblGrid>
      <w:tr>
        <w:trPr/>
        <w:tblPrEx/>
        <w:tc>
          <w:tcPr>
            <w:tcW w:w="6941" w:type="dxa"/>
            <w:noWrap w:val="false"/>
            <w:textDirection w:val="lrTb"/>
          </w:tcPr>
          <w:p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8"/>
                <w:szCs w:val="28"/>
              </w:rPr>
              <w:t xml:space="preserve">Уровни качества выполнения работ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4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4"/>
              </w:rPr>
            </w:r>
          </w:p>
        </w:tc>
        <w:tc>
          <w:tcPr>
            <w:tcW w:w="2687" w:type="dxa"/>
            <w:noWrap w:val="false"/>
            <w:textDirection w:val="lrTb"/>
          </w:tcPr>
          <w:p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8"/>
                <w:szCs w:val="28"/>
              </w:rPr>
              <w:t xml:space="preserve">Коэффициент 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8"/>
                <w:szCs w:val="28"/>
              </w:rPr>
              <w:t xml:space="preserve">К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8"/>
                <w:szCs w:val="28"/>
                <w:vertAlign w:val="subscript"/>
              </w:rPr>
              <w:t xml:space="preserve">квр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4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4"/>
              </w:rPr>
            </w:r>
          </w:p>
        </w:tc>
      </w:tr>
      <w:tr>
        <w:trPr/>
        <w:tblPrEx/>
        <w:tc>
          <w:tcPr>
            <w:tcW w:w="6941" w:type="dxa"/>
            <w:noWrap w:val="false"/>
            <w:textDirection w:val="lrTb"/>
          </w:tcPr>
          <w:p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  <w:t xml:space="preserve">Работа выполнена качественно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r>
          </w:p>
        </w:tc>
        <w:tc>
          <w:tcPr>
            <w:tcW w:w="2687" w:type="dxa"/>
            <w:noWrap w:val="false"/>
            <w:textDirection w:val="lrTb"/>
          </w:tcPr>
          <w:p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r>
          </w:p>
        </w:tc>
      </w:tr>
      <w:tr>
        <w:trPr/>
        <w:tblPrEx/>
        <w:tc>
          <w:tcPr>
            <w:tcW w:w="6941" w:type="dxa"/>
            <w:noWrap w:val="false"/>
            <w:textDirection w:val="lrTb"/>
          </w:tcPr>
          <w:p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  <w:t xml:space="preserve">Имеются незначительные замечания к качеству работы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r>
          </w:p>
        </w:tc>
        <w:tc>
          <w:tcPr>
            <w:tcW w:w="2687" w:type="dxa"/>
            <w:noWrap w:val="false"/>
            <w:textDirection w:val="lrTb"/>
          </w:tcPr>
          <w:p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  <w:t xml:space="preserve">0,9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r>
          </w:p>
        </w:tc>
      </w:tr>
      <w:tr>
        <w:trPr/>
        <w:tblPrEx/>
        <w:tc>
          <w:tcPr>
            <w:tcW w:w="6941" w:type="dxa"/>
            <w:noWrap w:val="false"/>
            <w:textDirection w:val="lrTb"/>
          </w:tcPr>
          <w:p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  <w:t xml:space="preserve">Имеются значительные замечания к качеству работы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r>
          </w:p>
        </w:tc>
        <w:tc>
          <w:tcPr>
            <w:tcW w:w="2687" w:type="dxa"/>
            <w:noWrap w:val="false"/>
            <w:textDirection w:val="lrTb"/>
          </w:tcPr>
          <w:p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  <w:t xml:space="preserve">0,8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r>
          </w:p>
        </w:tc>
      </w:tr>
    </w:tbl>
    <w:p>
      <w:pPr>
        <w:ind w:firstLine="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firstLine="72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2.9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. Размер премиальных выплат, определенный в соответствии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с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  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порядком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, приведенным в настоящем разделе, включает обязательные страховые взносы в государственные внебюджетные фонды.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contextualSpacing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</w:r>
    </w:p>
    <w:p>
      <w:pPr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8"/>
          <w:szCs w:val="28"/>
        </w:rPr>
      </w:r>
      <w:r>
        <w:rPr>
          <w:rFonts w:ascii="Times New Roman" w:hAnsi="Times New Roman" w:eastAsia="Times New Roman" w:cs="Times New Roman"/>
          <w:b/>
          <w:color w:val="000000" w:themeColor="text1"/>
          <w:sz w:val="28"/>
          <w:szCs w:val="28"/>
        </w:rPr>
        <w:t xml:space="preserve">I</w:t>
      </w:r>
      <w:r>
        <w:rPr>
          <w:rFonts w:ascii="Times New Roman" w:hAnsi="Times New Roman" w:eastAsia="Times New Roman" w:cs="Times New Roman"/>
          <w:b/>
          <w:color w:val="000000" w:themeColor="text1"/>
          <w:sz w:val="28"/>
          <w:szCs w:val="28"/>
        </w:rPr>
        <w:t xml:space="preserve">I</w:t>
      </w:r>
      <w:r>
        <w:rPr>
          <w:rFonts w:ascii="Times New Roman" w:hAnsi="Times New Roman" w:eastAsia="Times New Roman" w:cs="Times New Roman"/>
          <w:b/>
          <w:color w:val="000000" w:themeColor="text1"/>
          <w:sz w:val="28"/>
          <w:szCs w:val="28"/>
        </w:rPr>
        <w:t xml:space="preserve">I</w:t>
      </w:r>
      <w:r>
        <w:rPr>
          <w:rFonts w:ascii="Times New Roman" w:hAnsi="Times New Roman" w:eastAsia="Times New Roman" w:cs="Times New Roman"/>
          <w:b/>
          <w:color w:val="000000" w:themeColor="text1"/>
          <w:sz w:val="28"/>
          <w:szCs w:val="28"/>
        </w:rPr>
        <w:t xml:space="preserve">. Порядок осуществления п</w:t>
      </w:r>
      <w:r>
        <w:rPr>
          <w:rFonts w:ascii="Times New Roman" w:hAnsi="Times New Roman" w:eastAsia="Times New Roman" w:cs="Times New Roman"/>
          <w:b/>
          <w:color w:val="000000" w:themeColor="text1"/>
          <w:sz w:val="28"/>
          <w:szCs w:val="28"/>
        </w:rPr>
        <w:t xml:space="preserve">ремирования участников проектов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</w:r>
    </w:p>
    <w:p>
      <w:pPr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firstLine="72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3.1.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 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Отдел координации проектной деятельности аппарата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 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дминистрации Ивнянского муниципального округа осуществляет учет проектов, признанных реализованными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,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 на заседаниях экспертной комиссии           по рассмотрению проектов при главе администрации округа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, определяет размер премиальных выплат участникам проектов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в соответствии с разделом                       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II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 настоящего Порядка.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firstLine="72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3.2.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 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Отдел координации проектной деятельности аппарата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 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дминистрации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Ивнянского муниципального округа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 на основании протокола заседания межведомственной комиссии по рассмотрению проектов готовит проект распоряжения Администрации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Ивнянского муниципального округа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,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 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        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в котором утверждае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тся перечень закрытых проектов,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а также размеры премиальных выплат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п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о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 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проектам.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firstLine="72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3.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3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. 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Отдел координации проектной деятельности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аппарата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 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дминистрации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Ивнянского муниципального округа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 направляет распоряжение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 Администрации Ивнянского муниципального округа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об утверждении перечня успешно завершенных проектов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и протокол заседания межведомственной комиссии по рассмотрению проектов с указанием размера премиальных выплат по каждому участнику завершенных проектов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в соответствующие структурные подразделения Администрации округа и муниципальные учреждения округа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firstLine="72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3.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4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. 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Распоряжение Администрации Ивнянского муниципального округа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, проект которого готовится в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en-US"/>
        </w:rPr>
        <w:t xml:space="preserve"> 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соответствии с пунктом 3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.2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 настоящего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Порядка, является основанием для подготовки представителями нанимателя (работодателями) правового акта о выплате премии участникам проекта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firstLine="72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3.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5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. 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Отдел коо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рдинации проектной деятельности 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дминистрации округа осуществляет контроль за фактическим ос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уществлением премиальных выпл</w:t>
      </w:r>
      <w:bookmarkStart w:id="0" w:name="undefined"/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bookmarkEnd w:id="0"/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ат.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tabs>
          <w:tab w:val="left" w:pos="3119" w:leader="none"/>
        </w:tabs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tbl>
      <w:tblPr>
        <w:tblW w:w="9923" w:type="dxa"/>
        <w:tblInd w:w="-34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535"/>
        <w:gridCol w:w="1664"/>
        <w:gridCol w:w="3724"/>
      </w:tblGrid>
      <w:tr>
        <w:trPr/>
        <w:tblPrEx/>
        <w:tc>
          <w:tcPr>
            <w:tcW w:w="4535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  <w:vAlign w:val="top"/>
          </w:tcPr>
          <w:p>
            <w:pPr>
              <w:pStyle w:val="912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Заместитель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Главы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</w:p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округа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–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руководител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ь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аппарата А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дминистрации Ивнянского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муниципального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округа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</w:p>
        </w:tc>
        <w:tc>
          <w:tcPr>
            <w:tcW w:w="1664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  <w:vAlign w:val="top"/>
          </w:tcPr>
          <w:p>
            <w:pPr>
              <w:pStyle w:val="912"/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</w:r>
            <w:r>
              <w:rPr>
                <w:rFonts w:ascii="Times New Roman" w:hAnsi="Times New Roman"/>
                <w:b/>
                <w:sz w:val="28"/>
                <w:szCs w:val="28"/>
              </w:rPr>
            </w:r>
            <w:r>
              <w:rPr>
                <w:rFonts w:ascii="Times New Roman" w:hAnsi="Times New Roman"/>
                <w:b/>
                <w:sz w:val="28"/>
                <w:szCs w:val="28"/>
              </w:rPr>
            </w:r>
          </w:p>
        </w:tc>
        <w:tc>
          <w:tcPr>
            <w:tcW w:w="3724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  <w:vAlign w:val="top"/>
          </w:tcPr>
          <w:p>
            <w:pPr>
              <w:pStyle w:val="912"/>
              <w:spacing w:after="0" w:line="240" w:lineRule="auto"/>
              <w:contextualSpacing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/>
                <w:b/>
                <w:sz w:val="28"/>
                <w:szCs w:val="28"/>
              </w:rPr>
            </w:r>
            <w:r>
              <w:rPr>
                <w:rFonts w:ascii="Times New Roman" w:hAnsi="Times New Roman"/>
                <w:b/>
                <w:sz w:val="28"/>
                <w:szCs w:val="28"/>
              </w:rPr>
            </w:r>
          </w:p>
          <w:p>
            <w:pPr>
              <w:pStyle w:val="912"/>
              <w:spacing w:after="0" w:line="240" w:lineRule="auto"/>
              <w:contextualSpacing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</w:t>
            </w:r>
            <w:r>
              <w:rPr>
                <w:rFonts w:ascii="Times New Roman" w:hAnsi="Times New Roman"/>
                <w:b/>
                <w:sz w:val="28"/>
                <w:szCs w:val="28"/>
              </w:rPr>
            </w:r>
            <w:r>
              <w:rPr>
                <w:rFonts w:ascii="Times New Roman" w:hAnsi="Times New Roman"/>
                <w:b/>
                <w:sz w:val="28"/>
                <w:szCs w:val="28"/>
              </w:rPr>
            </w:r>
          </w:p>
          <w:p>
            <w:pPr>
              <w:pStyle w:val="912"/>
              <w:spacing w:after="0" w:line="240" w:lineRule="auto"/>
              <w:ind w:right="-105"/>
              <w:contextualSpacing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</w:r>
            <w:r>
              <w:rPr>
                <w:rFonts w:ascii="Times New Roman" w:hAnsi="Times New Roman"/>
                <w:b/>
                <w:sz w:val="28"/>
                <w:szCs w:val="28"/>
              </w:rPr>
            </w:r>
            <w:r>
              <w:rPr>
                <w:rFonts w:ascii="Times New Roman" w:hAnsi="Times New Roman"/>
                <w:b/>
                <w:sz w:val="28"/>
                <w:szCs w:val="28"/>
              </w:rPr>
            </w:r>
          </w:p>
          <w:p>
            <w:pPr>
              <w:pStyle w:val="912"/>
              <w:spacing w:after="0" w:line="240" w:lineRule="auto"/>
              <w:ind w:right="-105"/>
              <w:contextualSpacing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Н.А. П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озднякова</w:t>
            </w:r>
            <w:r>
              <w:rPr>
                <w:rFonts w:ascii="Times New Roman" w:hAnsi="Times New Roman"/>
                <w:b/>
                <w:sz w:val="28"/>
                <w:szCs w:val="28"/>
              </w:rPr>
            </w:r>
            <w:r>
              <w:rPr>
                <w:rFonts w:ascii="Times New Roman" w:hAnsi="Times New Roman"/>
                <w:b/>
                <w:sz w:val="28"/>
                <w:szCs w:val="28"/>
              </w:rPr>
            </w:r>
          </w:p>
        </w:tc>
      </w:tr>
    </w:tbl>
    <w:p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912"/>
        <w:spacing w:before="0" w:after="0"/>
        <w:jc w:val="right"/>
        <w:rPr>
          <w:rFonts w:ascii="Times New Roman" w:hAnsi="Times New Roman" w:cs="Times New Roman"/>
          <w:b/>
          <w:sz w:val="28"/>
          <w:szCs w:val="28"/>
        </w:rPr>
      </w:pPr>
      <w:permStart w:displacedbyCustomXml="next" w:edGrp="everyone" w:id="undefined"/>
      <w:permStart w:displacedbyCustomXml="next" w:edGrp="everyone" w:id="undefined"/>
      <w:r>
        <w:rPr>
          <w:rFonts w:ascii="Times New Roman" w:hAnsi="Times New Roman" w:cs="Times New Roman"/>
          <w:b/>
          <w:sz w:val="28"/>
          <w:szCs w:val="28"/>
        </w:rPr>
      </w:r>
      <w:permEnd w:displacedbyCustomXml="next" w:id=""/>
      <w:permEnd w:displacedbyCustomXml="next" w:id=""/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spacing w:before="0" w:after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spacing w:before="0" w:after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spacing w:before="0" w:after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spacing w:before="0" w:after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spacing w:before="0" w:after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spacing w:before="0" w:after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spacing w:before="0" w:after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spacing w:before="0" w:after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spacing w:before="0" w:after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spacing w:before="0" w:after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r>
    </w:p>
    <w:p>
      <w:pPr>
        <w:pStyle w:val="912"/>
        <w:spacing w:after="0" w:line="240" w:lineRule="auto"/>
        <w:rPr>
          <w:rFonts w:ascii="Times New Roman" w:hAnsi="Times New Roman" w:eastAsia="Times New Roman"/>
          <w:sz w:val="28"/>
          <w:szCs w:val="28"/>
          <w:lang w:eastAsia="ru-RU"/>
        </w:rPr>
        <w:sectPr>
          <w:headerReference w:type="default" r:id="rId9"/>
          <w:headerReference w:type="first" r:id="rId10"/>
          <w:footerReference w:type="first" r:id="rId11"/>
          <w:footnotePr/>
          <w:endnotePr/>
          <w:type w:val="nextPage"/>
          <w:pgSz w:w="11906" w:h="16838" w:orient="portrait"/>
          <w:pgMar w:top="1134" w:right="567" w:bottom="1134" w:left="1701" w:header="709" w:footer="709" w:gutter="0"/>
          <w:cols w:num="1" w:sep="0" w:space="708" w:equalWidth="1"/>
          <w:docGrid w:linePitch="360"/>
          <w:titlePg/>
        </w:sect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Лист № 1 из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1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лист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а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r>
    </w:p>
    <w:p>
      <w:pPr>
        <w:pStyle w:val="912"/>
        <w:spacing w:after="0" w:line="240" w:lineRule="auto"/>
        <w:jc w:val="center"/>
        <w:rPr>
          <w:rFonts w:ascii="Times New Roman" w:hAnsi="Times New Roman" w:eastAsia="Times New Roman"/>
          <w:b/>
          <w:sz w:val="28"/>
          <w:szCs w:val="28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  <w:t xml:space="preserve">ЛИСТ СОГЛАСОВАНИЯ</w:t>
      </w:r>
      <w:r>
        <w:rPr>
          <w:rFonts w:ascii="Times New Roman" w:hAnsi="Times New Roman" w:eastAsia="Times New Roman"/>
          <w:b/>
          <w:sz w:val="28"/>
          <w:szCs w:val="28"/>
        </w:rPr>
      </w:r>
      <w:r>
        <w:rPr>
          <w:rFonts w:ascii="Times New Roman" w:hAnsi="Times New Roman" w:eastAsia="Times New Roman"/>
          <w:b/>
          <w:sz w:val="28"/>
          <w:szCs w:val="28"/>
        </w:rPr>
      </w:r>
    </w:p>
    <w:p>
      <w:pPr>
        <w:spacing w:after="0" w:line="240" w:lineRule="auto"/>
        <w:jc w:val="center"/>
        <w:rPr>
          <w:rFonts w:ascii="Times New Roman" w:hAnsi="Times New Roman" w:eastAsia="Times New Roman"/>
          <w:b/>
          <w:bCs/>
          <w:sz w:val="28"/>
          <w:szCs w:val="28"/>
        </w:rPr>
      </w:pPr>
      <w:r>
        <w:rPr>
          <w:rFonts w:ascii="Times New Roman" w:hAnsi="Times New Roman" w:eastAsia="Times New Roman"/>
          <w:b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</w:rPr>
      </w:r>
      <w:r>
        <w:rPr>
          <w:rFonts w:ascii="Times New Roman" w:hAnsi="Times New Roman" w:eastAsia="Times New Roman"/>
          <w:b/>
          <w:bCs/>
          <w:sz w:val="28"/>
          <w:szCs w:val="28"/>
        </w:rPr>
      </w:r>
    </w:p>
    <w:p>
      <w:pPr>
        <w:pStyle w:val="912"/>
        <w:spacing w:after="0" w:line="240" w:lineRule="auto"/>
        <w:jc w:val="center"/>
        <w:rPr>
          <w:rFonts w:ascii="Times New Roman" w:hAnsi="Times New Roman" w:eastAsia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  <w:t xml:space="preserve"> проекта постановления</w:t>
      </w:r>
      <w:r>
        <w:rPr>
          <w:rFonts w:ascii="Times New Roman" w:hAnsi="Times New Roman" w:eastAsia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eastAsia="Times New Roman"/>
          <w:b/>
          <w:bCs/>
          <w:sz w:val="28"/>
          <w:szCs w:val="28"/>
          <w:highlight w:val="none"/>
        </w:rPr>
      </w:r>
    </w:p>
    <w:p>
      <w:pPr>
        <w:pStyle w:val="912"/>
        <w:spacing w:after="0" w:line="240" w:lineRule="auto"/>
        <w:jc w:val="center"/>
        <w:rPr>
          <w:rFonts w:ascii="Times New Roman" w:hAnsi="Times New Roman" w:eastAsia="Times New Roman"/>
          <w:b/>
          <w:sz w:val="28"/>
          <w:szCs w:val="28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  <w:t xml:space="preserve">администрации Ивнянского муниципального округа </w:t>
      </w:r>
      <w:r>
        <w:rPr>
          <w:rFonts w:ascii="Times New Roman" w:hAnsi="Times New Roman" w:eastAsia="Times New Roman"/>
          <w:b/>
          <w:sz w:val="28"/>
          <w:szCs w:val="28"/>
        </w:rPr>
      </w:r>
      <w:r>
        <w:rPr>
          <w:rFonts w:ascii="Times New Roman" w:hAnsi="Times New Roman" w:eastAsia="Times New Roman"/>
          <w:b/>
          <w:sz w:val="28"/>
          <w:szCs w:val="28"/>
        </w:rPr>
      </w:r>
    </w:p>
    <w:p>
      <w:pPr>
        <w:pStyle w:val="912"/>
        <w:spacing w:after="0" w:line="240" w:lineRule="auto"/>
        <w:jc w:val="center"/>
        <w:rPr>
          <w:rFonts w:ascii="Times New Roman" w:hAnsi="Times New Roman" w:eastAsia="Times New Roman"/>
          <w:b/>
          <w:sz w:val="28"/>
          <w:szCs w:val="28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  <w:t xml:space="preserve">Белгородской </w:t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  <w:t xml:space="preserve">области</w:t>
      </w:r>
      <w:r>
        <w:rPr>
          <w:rFonts w:ascii="Times New Roman" w:hAnsi="Times New Roman" w:eastAsia="Times New Roman"/>
          <w:b/>
          <w:sz w:val="28"/>
          <w:szCs w:val="28"/>
        </w:rPr>
      </w:r>
      <w:r>
        <w:rPr>
          <w:rFonts w:ascii="Times New Roman" w:hAnsi="Times New Roman" w:eastAsia="Times New Roman"/>
          <w:b/>
          <w:sz w:val="28"/>
          <w:szCs w:val="28"/>
        </w:rPr>
      </w:r>
    </w:p>
    <w:p>
      <w:pPr>
        <w:pStyle w:val="912"/>
        <w:spacing w:after="0" w:line="240" w:lineRule="auto"/>
        <w:jc w:val="center"/>
        <w:rPr>
          <w:rFonts w:ascii="Times New Roman" w:hAnsi="Times New Roman" w:eastAsia="Times New Roman"/>
          <w:b/>
          <w:sz w:val="28"/>
          <w:szCs w:val="28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sz w:val="28"/>
          <w:szCs w:val="28"/>
        </w:rPr>
      </w:r>
      <w:r>
        <w:rPr>
          <w:rFonts w:ascii="Times New Roman" w:hAnsi="Times New Roman" w:eastAsia="Times New Roman"/>
          <w:b/>
          <w:sz w:val="28"/>
          <w:szCs w:val="28"/>
        </w:rPr>
      </w:r>
    </w:p>
    <w:p>
      <w:pPr>
        <w:pStyle w:val="935"/>
        <w:spacing w:line="240" w:lineRule="auto"/>
        <w:ind w:right="-87" w:firstLine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eastAsia="ru-RU"/>
        </w:rPr>
      </w:r>
      <w:r>
        <w:rPr>
          <w:b/>
          <w:bCs/>
          <w:sz w:val="28"/>
          <w:szCs w:val="28"/>
          <w:lang w:eastAsia="ru-RU"/>
        </w:rPr>
        <w:t xml:space="preserve">О рейтинге участников проектной деятельности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912"/>
        <w:spacing w:after="12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pStyle w:val="912"/>
        <w:spacing w:after="120" w:line="240" w:lineRule="auto"/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Документу присвоен № ______________от _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____________________202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6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г.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r>
    </w:p>
    <w:p>
      <w:pPr>
        <w:spacing w:after="12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spacing w:after="12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pStyle w:val="912"/>
        <w:spacing w:after="0" w:line="240" w:lineRule="auto"/>
        <w:rPr>
          <w:rFonts w:ascii="Times New Roman" w:hAnsi="Times New Roman" w:eastAsia="Times New Roman"/>
          <w:b/>
          <w:sz w:val="28"/>
          <w:szCs w:val="28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  <w:t xml:space="preserve">Подготовлено:</w:t>
      </w:r>
      <w:r>
        <w:rPr>
          <w:rFonts w:ascii="Times New Roman" w:hAnsi="Times New Roman" w:eastAsia="Times New Roman"/>
          <w:b/>
          <w:sz w:val="28"/>
          <w:szCs w:val="28"/>
        </w:rPr>
      </w:r>
      <w:r>
        <w:rPr>
          <w:rFonts w:ascii="Times New Roman" w:hAnsi="Times New Roman" w:eastAsia="Times New Roman"/>
          <w:b/>
          <w:sz w:val="28"/>
          <w:szCs w:val="28"/>
        </w:rPr>
      </w:r>
    </w:p>
    <w:p>
      <w:pPr>
        <w:pStyle w:val="912"/>
        <w:spacing w:after="0" w:line="240" w:lineRule="auto"/>
        <w:rPr>
          <w:rFonts w:ascii="Times New Roman" w:hAnsi="Times New Roman" w:eastAsia="Times New Roman"/>
          <w:b/>
          <w:sz w:val="28"/>
          <w:szCs w:val="28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sz w:val="28"/>
          <w:szCs w:val="28"/>
        </w:rPr>
      </w:r>
      <w:r>
        <w:rPr>
          <w:rFonts w:ascii="Times New Roman" w:hAnsi="Times New Roman" w:eastAsia="Times New Roman"/>
          <w:b/>
          <w:sz w:val="28"/>
          <w:szCs w:val="28"/>
        </w:rPr>
      </w:r>
    </w:p>
    <w:tbl>
      <w:tblPr>
        <w:tblW w:w="9887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635"/>
        <w:gridCol w:w="1701"/>
        <w:gridCol w:w="2551"/>
      </w:tblGrid>
      <w:tr>
        <w:trPr>
          <w:trHeight w:val="833"/>
        </w:trPr>
        <w:tblPrEx/>
        <w:tc>
          <w:tcPr>
            <w:tcW w:w="5635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  <w:vAlign w:val="top"/>
          </w:tcPr>
          <w:p>
            <w:pPr>
              <w:pStyle w:val="912"/>
              <w:spacing w:after="0" w:line="240" w:lineRule="auto"/>
              <w:jc w:val="both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Отдел координации проектной деятельности аппарата Администрации Ивнянского муниципального округа</w:t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</w:p>
        </w:tc>
        <w:tc>
          <w:tcPr>
            <w:tcW w:w="1701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  <w:vAlign w:val="top"/>
          </w:tcPr>
          <w:p>
            <w:pPr>
              <w:pStyle w:val="912"/>
              <w:spacing w:after="0" w:line="240" w:lineRule="auto"/>
              <w:jc w:val="both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</w:p>
        </w:tc>
        <w:tc>
          <w:tcPr>
            <w:tcW w:w="2551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  <w:vAlign w:val="top"/>
          </w:tcPr>
          <w:p>
            <w:pPr>
              <w:pStyle w:val="912"/>
              <w:spacing w:after="0" w:line="240" w:lineRule="auto"/>
              <w:jc w:val="both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</w:p>
          <w:p>
            <w:pPr>
              <w:pStyle w:val="912"/>
              <w:spacing w:after="0" w:line="240" w:lineRule="auto"/>
              <w:jc w:val="both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</w:p>
          <w:p>
            <w:pPr>
              <w:pStyle w:val="912"/>
              <w:spacing w:after="0" w:line="240" w:lineRule="auto"/>
              <w:ind w:right="-108"/>
              <w:jc w:val="both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     С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.В. Мельникова</w:t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</w:p>
        </w:tc>
      </w:tr>
    </w:tbl>
    <w:p>
      <w:pPr>
        <w:pStyle w:val="912"/>
        <w:spacing w:after="0" w:line="240" w:lineRule="auto"/>
        <w:ind w:left="284" w:hanging="284"/>
        <w:jc w:val="center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pStyle w:val="912"/>
        <w:spacing w:after="0" w:line="240" w:lineRule="auto"/>
        <w:ind w:left="284" w:hanging="284"/>
        <w:rPr>
          <w:rFonts w:ascii="Times New Roman" w:hAnsi="Times New Roman" w:eastAsia="Times New Roman"/>
          <w:b/>
          <w:sz w:val="28"/>
          <w:szCs w:val="28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  <w:t xml:space="preserve">Согласовано:</w:t>
      </w:r>
      <w:r>
        <w:rPr>
          <w:rFonts w:ascii="Times New Roman" w:hAnsi="Times New Roman" w:eastAsia="Times New Roman"/>
          <w:b/>
          <w:sz w:val="28"/>
          <w:szCs w:val="28"/>
        </w:rPr>
      </w:r>
      <w:r>
        <w:rPr>
          <w:rFonts w:ascii="Times New Roman" w:hAnsi="Times New Roman" w:eastAsia="Times New Roman"/>
          <w:b/>
          <w:sz w:val="28"/>
          <w:szCs w:val="28"/>
        </w:rPr>
      </w:r>
    </w:p>
    <w:p>
      <w:pPr>
        <w:pStyle w:val="912"/>
        <w:spacing w:after="0" w:line="240" w:lineRule="auto"/>
        <w:ind w:left="284" w:hanging="284"/>
        <w:rPr>
          <w:rFonts w:ascii="Times New Roman" w:hAnsi="Times New Roman" w:eastAsia="Times New Roman"/>
          <w:b/>
          <w:sz w:val="28"/>
          <w:szCs w:val="28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sz w:val="28"/>
          <w:szCs w:val="28"/>
        </w:rPr>
      </w:r>
      <w:r>
        <w:rPr>
          <w:rFonts w:ascii="Times New Roman" w:hAnsi="Times New Roman" w:eastAsia="Times New Roman"/>
          <w:b/>
          <w:sz w:val="28"/>
          <w:szCs w:val="28"/>
        </w:rPr>
      </w:r>
    </w:p>
    <w:tbl>
      <w:tblPr>
        <w:tblW w:w="9887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635"/>
        <w:gridCol w:w="1701"/>
        <w:gridCol w:w="2551"/>
      </w:tblGrid>
      <w:tr>
        <w:trPr/>
        <w:tblPrEx/>
        <w:tc>
          <w:tcPr>
            <w:tcW w:w="5635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  <w:vAlign w:val="top"/>
          </w:tcPr>
          <w:p>
            <w:pPr>
              <w:pStyle w:val="912"/>
              <w:spacing w:after="0" w:line="240" w:lineRule="auto"/>
              <w:contextualSpacing/>
              <w:jc w:val="both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Заместитель Главы округа - руководитель аппарата Ад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министрации Ивнянского муниципального округа</w:t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</w:p>
          <w:p>
            <w:pPr>
              <w:pStyle w:val="912"/>
              <w:spacing w:after="0" w:line="240" w:lineRule="auto"/>
              <w:contextualSpacing/>
              <w:jc w:val="both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</w:p>
        </w:tc>
        <w:tc>
          <w:tcPr>
            <w:tcW w:w="1701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  <w:vAlign w:val="top"/>
          </w:tcPr>
          <w:p>
            <w:pPr>
              <w:pStyle w:val="912"/>
              <w:spacing w:after="0" w:line="240" w:lineRule="auto"/>
              <w:contextualSpacing/>
              <w:jc w:val="both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</w:p>
        </w:tc>
        <w:tc>
          <w:tcPr>
            <w:tcW w:w="2551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  <w:vAlign w:val="top"/>
          </w:tcPr>
          <w:p>
            <w:pPr>
              <w:pStyle w:val="912"/>
              <w:spacing w:after="0" w:line="240" w:lineRule="auto"/>
              <w:contextualSpacing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</w:p>
          <w:p>
            <w:pPr>
              <w:pStyle w:val="912"/>
              <w:spacing w:after="0" w:line="240" w:lineRule="auto"/>
              <w:ind w:right="-108"/>
              <w:contextualSpacing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       </w:t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</w:p>
          <w:p>
            <w:pPr>
              <w:pStyle w:val="912"/>
              <w:spacing w:after="0" w:line="240" w:lineRule="auto"/>
              <w:ind w:right="-108"/>
              <w:contextualSpacing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     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Н.А. Позднякова</w:t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</w:p>
        </w:tc>
      </w:tr>
      <w:tr>
        <w:trPr/>
        <w:tblPrEx/>
        <w:tc>
          <w:tcPr>
            <w:tcW w:w="5635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  <w:vAlign w:val="top"/>
          </w:tcPr>
          <w:p>
            <w:pPr>
              <w:pStyle w:val="912"/>
              <w:spacing w:after="0" w:line="240" w:lineRule="auto"/>
              <w:contextualSpacing/>
              <w:jc w:val="both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Юридический отдел Администрации Ивнянского муниципального округа</w:t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</w:p>
        </w:tc>
        <w:tc>
          <w:tcPr>
            <w:tcW w:w="1701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  <w:vAlign w:val="top"/>
          </w:tcPr>
          <w:p>
            <w:pPr>
              <w:pStyle w:val="912"/>
              <w:spacing w:after="0" w:line="240" w:lineRule="auto"/>
              <w:contextualSpacing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</w:p>
        </w:tc>
        <w:tc>
          <w:tcPr>
            <w:tcW w:w="2551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  <w:vAlign w:val="top"/>
          </w:tcPr>
          <w:p>
            <w:pPr>
              <w:pStyle w:val="912"/>
              <w:spacing w:after="0" w:line="240" w:lineRule="auto"/>
              <w:contextualSpacing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br w:type="textWrapping" w:clear="all"/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   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С.И. Солощенко</w:t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</w:p>
          <w:p>
            <w:pPr>
              <w:pStyle w:val="912"/>
              <w:spacing w:after="0" w:line="240" w:lineRule="auto"/>
              <w:contextualSpacing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</w:p>
        </w:tc>
      </w:tr>
      <w:tr>
        <w:trPr/>
        <w:tblPrEx/>
        <w:tc>
          <w:tcPr>
            <w:tcW w:w="5635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  <w:vAlign w:val="top"/>
          </w:tcPr>
          <w:p>
            <w:pPr>
              <w:pStyle w:val="912"/>
              <w:spacing w:after="0" w:line="240" w:lineRule="auto"/>
              <w:ind w:hanging="105"/>
              <w:contextualSpacing/>
              <w:rPr>
                <w:rFonts w:ascii="Times New Roman" w:hAnsi="Times New Roman" w:eastAsia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/>
                <w:b/>
                <w:sz w:val="28"/>
                <w:szCs w:val="28"/>
                <w:lang w:eastAsia="ru-RU"/>
              </w:rPr>
              <w:t xml:space="preserve">Проверено:</w:t>
            </w:r>
            <w:r>
              <w:rPr>
                <w:rFonts w:ascii="Times New Roman" w:hAnsi="Times New Roman" w:eastAsia="Times New Roman"/>
                <w:b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b/>
                <w:sz w:val="28"/>
                <w:szCs w:val="28"/>
              </w:rPr>
            </w:r>
          </w:p>
          <w:p>
            <w:pPr>
              <w:pStyle w:val="912"/>
              <w:spacing w:after="0" w:line="240" w:lineRule="auto"/>
              <w:contextualSpacing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</w:p>
          <w:p>
            <w:pPr>
              <w:pStyle w:val="912"/>
              <w:spacing w:after="0" w:line="240" w:lineRule="auto"/>
              <w:contextualSpacing/>
              <w:jc w:val="both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Отдел делопроизводства и приёма граждан аппарата Администрации Ивнянского муниципального округа</w:t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</w:p>
        </w:tc>
        <w:tc>
          <w:tcPr>
            <w:tcW w:w="1701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  <w:vAlign w:val="top"/>
          </w:tcPr>
          <w:p>
            <w:pPr>
              <w:pStyle w:val="912"/>
              <w:spacing w:after="0" w:line="240" w:lineRule="auto"/>
              <w:contextualSpacing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</w:p>
        </w:tc>
        <w:tc>
          <w:tcPr>
            <w:tcW w:w="2551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  <w:vAlign w:val="top"/>
          </w:tcPr>
          <w:p>
            <w:pPr>
              <w:pStyle w:val="912"/>
              <w:spacing w:after="0" w:line="240" w:lineRule="auto"/>
              <w:contextualSpacing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</w:p>
          <w:p>
            <w:pPr>
              <w:pStyle w:val="912"/>
              <w:spacing w:after="0" w:line="240" w:lineRule="auto"/>
              <w:contextualSpacing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</w:p>
          <w:p>
            <w:pPr>
              <w:pStyle w:val="912"/>
              <w:spacing w:after="0" w:line="240" w:lineRule="auto"/>
              <w:contextualSpacing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</w:p>
          <w:p>
            <w:pPr>
              <w:pStyle w:val="912"/>
              <w:spacing w:after="0" w:line="240" w:lineRule="auto"/>
              <w:contextualSpacing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</w:p>
          <w:p>
            <w:pPr>
              <w:pStyle w:val="912"/>
              <w:spacing w:after="0" w:line="240" w:lineRule="auto"/>
              <w:contextualSpacing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     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 Н.Н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Рахим</w:t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pStyle w:val="912"/>
        <w:spacing w:after="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pStyle w:val="912"/>
        <w:spacing w:after="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pStyle w:val="912"/>
        <w:spacing w:after="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pStyle w:val="912"/>
        <w:spacing w:after="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Лист согласования оформил:</w:t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pStyle w:val="912"/>
        <w:spacing w:after="0" w:line="240" w:lineRule="auto"/>
        <w:jc w:val="both"/>
        <w:rPr>
          <w:rFonts w:ascii="Times New Roman" w:hAnsi="Times New Roman" w:eastAsia="Times New Roman"/>
          <w:i/>
          <w:sz w:val="28"/>
          <w:szCs w:val="28"/>
          <w:u w:val="single"/>
        </w:rPr>
      </w:pPr>
      <w:r>
        <w:rPr>
          <w:rFonts w:ascii="Times New Roman" w:hAnsi="Times New Roman" w:eastAsia="Times New Roman"/>
          <w:i/>
          <w:sz w:val="28"/>
          <w:szCs w:val="28"/>
          <w:u w:val="single"/>
          <w:lang w:eastAsia="ru-RU"/>
        </w:rPr>
        <w:t xml:space="preserve">  </w:t>
      </w:r>
      <w:r>
        <w:rPr>
          <w:rFonts w:ascii="Times New Roman" w:hAnsi="Times New Roman" w:eastAsia="Times New Roman"/>
          <w:i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hAnsi="Times New Roman" w:eastAsia="Times New Roman"/>
          <w:i/>
          <w:sz w:val="28"/>
          <w:szCs w:val="28"/>
          <w:u w:val="single"/>
          <w:lang w:eastAsia="ru-RU"/>
        </w:rPr>
        <w:t xml:space="preserve">Мельникова Светлана Васильевна</w:t>
      </w:r>
      <w:r>
        <w:rPr>
          <w:rFonts w:ascii="Times New Roman" w:hAnsi="Times New Roman" w:eastAsia="Times New Roman"/>
          <w:i/>
          <w:sz w:val="28"/>
          <w:szCs w:val="28"/>
          <w:u w:val="single"/>
          <w:lang w:eastAsia="ru-RU"/>
        </w:rPr>
        <w:t xml:space="preserve">, 26</w:t>
      </w:r>
      <w:r>
        <w:rPr>
          <w:rFonts w:ascii="Times New Roman" w:hAnsi="Times New Roman" w:eastAsia="Times New Roman"/>
          <w:i/>
          <w:sz w:val="28"/>
          <w:szCs w:val="28"/>
          <w:u w:val="single"/>
          <w:lang w:eastAsia="ru-RU"/>
        </w:rPr>
        <w:t xml:space="preserve"> января</w:t>
      </w:r>
      <w:r>
        <w:rPr>
          <w:rFonts w:ascii="Times New Roman" w:hAnsi="Times New Roman" w:eastAsia="Times New Roman"/>
          <w:i/>
          <w:sz w:val="28"/>
          <w:szCs w:val="28"/>
          <w:u w:val="single"/>
          <w:lang w:eastAsia="ru-RU"/>
        </w:rPr>
        <w:t xml:space="preserve"> 202</w:t>
      </w:r>
      <w:r>
        <w:rPr>
          <w:rFonts w:ascii="Times New Roman" w:hAnsi="Times New Roman" w:eastAsia="Times New Roman"/>
          <w:i/>
          <w:sz w:val="28"/>
          <w:szCs w:val="28"/>
          <w:u w:val="single"/>
          <w:lang w:eastAsia="ru-RU"/>
        </w:rPr>
        <w:t xml:space="preserve">6</w:t>
      </w:r>
      <w:r>
        <w:rPr>
          <w:rFonts w:ascii="Times New Roman" w:hAnsi="Times New Roman" w:eastAsia="Times New Roman"/>
          <w:i/>
          <w:sz w:val="28"/>
          <w:szCs w:val="28"/>
          <w:u w:val="single"/>
          <w:lang w:eastAsia="ru-RU"/>
        </w:rPr>
        <w:t xml:space="preserve"> года</w:t>
      </w:r>
      <w:r>
        <w:rPr>
          <w:rFonts w:ascii="Times New Roman" w:hAnsi="Times New Roman" w:eastAsia="Times New Roman"/>
          <w:i/>
          <w:sz w:val="28"/>
          <w:szCs w:val="28"/>
          <w:u w:val="single"/>
          <w:lang w:eastAsia="ru-RU"/>
        </w:rPr>
        <w:t xml:space="preserve">, </w:t>
      </w:r>
      <w:r>
        <w:rPr>
          <w:rFonts w:ascii="Times New Roman" w:hAnsi="Times New Roman" w:eastAsia="Times New Roman"/>
          <w:i/>
          <w:sz w:val="28"/>
          <w:szCs w:val="28"/>
          <w:u w:val="single"/>
          <w:lang w:eastAsia="ru-RU"/>
        </w:rPr>
        <w:t xml:space="preserve">тел.5-57-08 (доб</w:t>
      </w:r>
      <w:r>
        <w:rPr>
          <w:rFonts w:ascii="Times New Roman" w:hAnsi="Times New Roman" w:eastAsia="Times New Roman"/>
          <w:i/>
          <w:sz w:val="28"/>
          <w:szCs w:val="28"/>
          <w:u w:val="single"/>
          <w:lang w:eastAsia="ru-RU"/>
        </w:rPr>
        <w:t xml:space="preserve">. 174)  </w:t>
      </w:r>
      <w:r>
        <w:rPr>
          <w:rFonts w:ascii="Times New Roman" w:hAnsi="Times New Roman" w:eastAsia="Times New Roman"/>
          <w:i/>
          <w:sz w:val="28"/>
          <w:szCs w:val="28"/>
          <w:u w:val="single"/>
        </w:rPr>
      </w:r>
      <w:r>
        <w:rPr>
          <w:rFonts w:ascii="Times New Roman" w:hAnsi="Times New Roman" w:eastAsia="Times New Roman"/>
          <w:i/>
          <w:sz w:val="28"/>
          <w:szCs w:val="28"/>
          <w:u w:val="single"/>
        </w:rPr>
      </w:r>
    </w:p>
    <w:p>
      <w:pPr>
        <w:pStyle w:val="912"/>
        <w:spacing w:after="0" w:line="240" w:lineRule="auto"/>
        <w:jc w:val="center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  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Подпись, фамилия, имя, отчество, дата, рабочий телефон</w:t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sectPr>
      <w:footnotePr/>
      <w:endnotePr/>
      <w:type w:val="nextPage"/>
      <w:pgSz w:w="11906" w:h="16838" w:orient="portrait"/>
      <w:pgMar w:top="1134" w:right="567" w:bottom="1134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ambria">
    <w:panose1 w:val="02040503050406030204"/>
  </w:font>
  <w:font w:name="Courier New">
    <w:panose1 w:val="02070309020205020404"/>
  </w:font>
  <w:font w:name="Tahoma">
    <w:panose1 w:val="020B0604030504040204"/>
  </w:font>
  <w:font w:name="Arial">
    <w:panose1 w:val="020B0604020202020204"/>
  </w:font>
  <w:font w:name="Arial Narrow">
    <w:panose1 w:val="020B0604020202020204"/>
  </w:font>
  <w:font w:name="Times New Roman">
    <w:panose1 w:val="02020603050405020304"/>
  </w:font>
  <w:font w:name="Calibri">
    <w:panose1 w:val="020F0502020204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6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4"/>
      <w:jc w:val="center"/>
    </w:pPr>
    <w:fldSimple w:instr="PAGE \* MERGEFORMAT">
      <w:r>
        <w:t xml:space="preserve">1</w:t>
      </w:r>
    </w:fldSimple>
  </w:p>
  <w:p>
    <w:pPr>
      <w:pStyle w:val="924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62"/>
      <w:jc w:val="left"/>
    </w:pPr>
  </w:p>
  <w:p>
    <w:pPr>
      <w:pStyle w:val="7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395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1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3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5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7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99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1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3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55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lang w:val="ru-RU" w:eastAsia="ru-RU" w:bidi="ru-RU"/>
      </w:rPr>
    </w:lvl>
    <w:lvl w:ilvl="1">
      <w:start w:val="0"/>
      <w:numFmt w:val="decimal"/>
      <w:isLgl w:val="false"/>
      <w:suff w:val="tab"/>
      <w:lvlText w:val=""/>
      <w:lvlJc w:val="left"/>
      <w:pPr/>
    </w:lvl>
    <w:lvl w:ilvl="2">
      <w:start w:val="0"/>
      <w:numFmt w:val="decimal"/>
      <w:isLgl w:val="false"/>
      <w:suff w:val="tab"/>
      <w:lvlText w:val=""/>
      <w:lvlJc w:val="left"/>
      <w:pPr/>
    </w:lvl>
    <w:lvl w:ilvl="3">
      <w:start w:val="0"/>
      <w:numFmt w:val="decimal"/>
      <w:isLgl w:val="false"/>
      <w:suff w:val="tab"/>
      <w:lvlText w:val=""/>
      <w:lvlJc w:val="left"/>
      <w:pPr/>
    </w:lvl>
    <w:lvl w:ilvl="4">
      <w:start w:val="0"/>
      <w:numFmt w:val="decimal"/>
      <w:isLgl w:val="false"/>
      <w:suff w:val="tab"/>
      <w:lvlText w:val=""/>
      <w:lvlJc w:val="left"/>
      <w:pPr/>
    </w:lvl>
    <w:lvl w:ilvl="5">
      <w:start w:val="0"/>
      <w:numFmt w:val="decimal"/>
      <w:isLgl w:val="false"/>
      <w:suff w:val="tab"/>
      <w:lvlText w:val=""/>
      <w:lvlJc w:val="left"/>
      <w:pPr/>
    </w:lvl>
    <w:lvl w:ilvl="6">
      <w:start w:val="0"/>
      <w:numFmt w:val="decimal"/>
      <w:isLgl w:val="false"/>
      <w:suff w:val="tab"/>
      <w:lvlText w:val=""/>
      <w:lvlJc w:val="left"/>
      <w:pPr/>
    </w:lvl>
    <w:lvl w:ilvl="7">
      <w:start w:val="0"/>
      <w:numFmt w:val="decimal"/>
      <w:isLgl w:val="false"/>
      <w:suff w:val="tab"/>
      <w:lvlText w:val=""/>
      <w:lvlJc w:val="left"/>
      <w:pPr/>
    </w:lvl>
    <w:lvl w:ilvl="8">
      <w:start w:val="0"/>
      <w:numFmt w:val="decimal"/>
      <w:isLgl w:val="false"/>
      <w:suff w:val="tab"/>
      <w:lvlText w:val=""/>
      <w:lvlJc w:val="left"/>
      <w:pPr/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35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5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47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19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1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3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5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07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795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7" w:hanging="18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701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421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3141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861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81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301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6021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741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461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701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421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3141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861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81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301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6021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741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461" w:hanging="360"/>
      </w:pPr>
      <w:rPr>
        <w:rFonts w:hint="default" w:ascii="Wingdings" w:hAnsi="Wingdings" w:eastAsia="Wingdings" w:cs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7" w:hanging="180"/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258" w:hanging="281"/>
        <w:jc w:val="right"/>
      </w:pPr>
      <w:rPr>
        <w:rFonts w:hint="default"/>
        <w:spacing w:val="-1"/>
        <w:lang w:val="ru-RU" w:eastAsia="en-US" w:bidi="ar-SA"/>
      </w:rPr>
    </w:lvl>
    <w:lvl w:ilvl="1">
      <w:start w:val="1"/>
      <w:numFmt w:val="decimal"/>
      <w:isLgl w:val="false"/>
      <w:suff w:val="tab"/>
      <w:lvlText w:val="%1.%2."/>
      <w:lvlJc w:val="left"/>
      <w:pPr>
        <w:ind w:left="80" w:hanging="624"/>
        <w:jc w:val="left"/>
      </w:pPr>
      <w:rPr>
        <w:rFonts w:hint="default"/>
        <w:spacing w:val="0"/>
        <w:lang w:val="ru-RU" w:eastAsia="en-US" w:bidi="ar-SA"/>
      </w:rPr>
    </w:lvl>
    <w:lvl w:ilvl="2">
      <w:start w:val="0"/>
      <w:numFmt w:val="bullet"/>
      <w:isLgl w:val="false"/>
      <w:suff w:val="tab"/>
      <w:lvlText w:val="•"/>
      <w:lvlJc w:val="left"/>
      <w:pPr>
        <w:ind w:left="4260" w:hanging="624"/>
      </w:pPr>
      <w:rPr>
        <w:rFonts w:hint="default"/>
        <w:lang w:val="ru-RU" w:eastAsia="en-US" w:bidi="ar-SA"/>
      </w:rPr>
    </w:lvl>
    <w:lvl w:ilvl="3">
      <w:start w:val="0"/>
      <w:numFmt w:val="bullet"/>
      <w:isLgl w:val="false"/>
      <w:suff w:val="tab"/>
      <w:lvlText w:val="•"/>
      <w:lvlJc w:val="left"/>
      <w:pPr>
        <w:ind w:left="4949" w:hanging="624"/>
      </w:pPr>
      <w:rPr>
        <w:rFonts w:hint="default"/>
        <w:lang w:val="ru-RU" w:eastAsia="en-US" w:bidi="ar-SA"/>
      </w:rPr>
    </w:lvl>
    <w:lvl w:ilvl="4">
      <w:start w:val="0"/>
      <w:numFmt w:val="bullet"/>
      <w:isLgl w:val="false"/>
      <w:suff w:val="tab"/>
      <w:lvlText w:val="•"/>
      <w:lvlJc w:val="left"/>
      <w:pPr>
        <w:ind w:left="5639" w:hanging="624"/>
      </w:pPr>
      <w:rPr>
        <w:rFonts w:hint="default"/>
        <w:lang w:val="ru-RU" w:eastAsia="en-US" w:bidi="ar-SA"/>
      </w:rPr>
    </w:lvl>
    <w:lvl w:ilvl="5">
      <w:start w:val="0"/>
      <w:numFmt w:val="bullet"/>
      <w:isLgl w:val="false"/>
      <w:suff w:val="tab"/>
      <w:lvlText w:val="•"/>
      <w:lvlJc w:val="left"/>
      <w:pPr>
        <w:ind w:left="6329" w:hanging="624"/>
      </w:pPr>
      <w:rPr>
        <w:rFonts w:hint="default"/>
        <w:lang w:val="ru-RU" w:eastAsia="en-US" w:bidi="ar-SA"/>
      </w:rPr>
    </w:lvl>
    <w:lvl w:ilvl="6">
      <w:start w:val="0"/>
      <w:numFmt w:val="bullet"/>
      <w:isLgl w:val="false"/>
      <w:suff w:val="tab"/>
      <w:lvlText w:val="•"/>
      <w:lvlJc w:val="left"/>
      <w:pPr>
        <w:ind w:left="7019" w:hanging="624"/>
      </w:pPr>
      <w:rPr>
        <w:rFonts w:hint="default"/>
        <w:lang w:val="ru-RU" w:eastAsia="en-US" w:bidi="ar-SA"/>
      </w:rPr>
    </w:lvl>
    <w:lvl w:ilvl="7">
      <w:start w:val="0"/>
      <w:numFmt w:val="bullet"/>
      <w:isLgl w:val="false"/>
      <w:suff w:val="tab"/>
      <w:lvlText w:val="•"/>
      <w:lvlJc w:val="left"/>
      <w:pPr>
        <w:ind w:left="7709" w:hanging="624"/>
      </w:pPr>
      <w:rPr>
        <w:rFonts w:hint="default"/>
        <w:lang w:val="ru-RU" w:eastAsia="en-US" w:bidi="ar-SA"/>
      </w:rPr>
    </w:lvl>
    <w:lvl w:ilvl="8">
      <w:start w:val="0"/>
      <w:numFmt w:val="bullet"/>
      <w:isLgl w:val="false"/>
      <w:suff w:val="tab"/>
      <w:lvlText w:val="•"/>
      <w:lvlJc w:val="left"/>
      <w:pPr>
        <w:ind w:left="8399" w:hanging="624"/>
      </w:pPr>
      <w:rPr>
        <w:rFonts w:hint="default"/>
        <w:lang w:val="ru-RU" w:eastAsia="en-US" w:bidi="ar-SA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96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568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640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712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784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856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928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1000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10727" w:hanging="180"/>
      </w:pPr>
    </w:lvl>
  </w:abstractNum>
  <w:abstractNum w:abstractNumId="22">
    <w:multiLevelType w:val="hybridMultilevel"/>
    <w:lvl w:ilvl="0">
      <w:start w:val="0"/>
      <w:numFmt w:val="bullet"/>
      <w:isLgl w:val="false"/>
      <w:suff w:val="tab"/>
      <w:lvlText w:val="—"/>
      <w:lvlJc w:val="left"/>
      <w:pPr>
        <w:ind w:left="71" w:hanging="357"/>
      </w:pPr>
      <w:rPr>
        <w:rFonts w:hint="default" w:ascii="Times New Roman" w:hAnsi="Times New Roman" w:eastAsia="Times New Roman" w:cs="Times New Roman"/>
        <w:spacing w:val="0"/>
        <w:lang w:val="ru-RU" w:eastAsia="en-US" w:bidi="ar-SA"/>
      </w:rPr>
    </w:lvl>
    <w:lvl w:ilvl="1">
      <w:start w:val="0"/>
      <w:numFmt w:val="bullet"/>
      <w:isLgl w:val="false"/>
      <w:suff w:val="tab"/>
      <w:lvlText w:val="•"/>
      <w:lvlJc w:val="left"/>
      <w:pPr>
        <w:ind w:left="1049" w:hanging="357"/>
      </w:pPr>
      <w:rPr>
        <w:rFonts w:hint="default"/>
        <w:lang w:val="ru-RU" w:eastAsia="en-US" w:bidi="ar-SA"/>
      </w:rPr>
    </w:lvl>
    <w:lvl w:ilvl="2">
      <w:start w:val="0"/>
      <w:numFmt w:val="bullet"/>
      <w:isLgl w:val="false"/>
      <w:suff w:val="tab"/>
      <w:lvlText w:val="•"/>
      <w:lvlJc w:val="left"/>
      <w:pPr>
        <w:ind w:left="2019" w:hanging="357"/>
      </w:pPr>
      <w:rPr>
        <w:rFonts w:hint="default"/>
        <w:lang w:val="ru-RU" w:eastAsia="en-US" w:bidi="ar-SA"/>
      </w:rPr>
    </w:lvl>
    <w:lvl w:ilvl="3">
      <w:start w:val="0"/>
      <w:numFmt w:val="bullet"/>
      <w:isLgl w:val="false"/>
      <w:suff w:val="tab"/>
      <w:lvlText w:val="•"/>
      <w:lvlJc w:val="left"/>
      <w:pPr>
        <w:ind w:left="2989" w:hanging="357"/>
      </w:pPr>
      <w:rPr>
        <w:rFonts w:hint="default"/>
        <w:lang w:val="ru-RU" w:eastAsia="en-US" w:bidi="ar-SA"/>
      </w:rPr>
    </w:lvl>
    <w:lvl w:ilvl="4">
      <w:start w:val="0"/>
      <w:numFmt w:val="bullet"/>
      <w:isLgl w:val="false"/>
      <w:suff w:val="tab"/>
      <w:lvlText w:val="•"/>
      <w:lvlJc w:val="left"/>
      <w:pPr>
        <w:ind w:left="3959" w:hanging="357"/>
      </w:pPr>
      <w:rPr>
        <w:rFonts w:hint="default"/>
        <w:lang w:val="ru-RU" w:eastAsia="en-US" w:bidi="ar-SA"/>
      </w:rPr>
    </w:lvl>
    <w:lvl w:ilvl="5">
      <w:start w:val="0"/>
      <w:numFmt w:val="bullet"/>
      <w:isLgl w:val="false"/>
      <w:suff w:val="tab"/>
      <w:lvlText w:val="•"/>
      <w:lvlJc w:val="left"/>
      <w:pPr>
        <w:ind w:left="4929" w:hanging="357"/>
      </w:pPr>
      <w:rPr>
        <w:rFonts w:hint="default"/>
        <w:lang w:val="ru-RU" w:eastAsia="en-US" w:bidi="ar-SA"/>
      </w:rPr>
    </w:lvl>
    <w:lvl w:ilvl="6">
      <w:start w:val="0"/>
      <w:numFmt w:val="bullet"/>
      <w:isLgl w:val="false"/>
      <w:suff w:val="tab"/>
      <w:lvlText w:val="•"/>
      <w:lvlJc w:val="left"/>
      <w:pPr>
        <w:ind w:left="5899" w:hanging="357"/>
      </w:pPr>
      <w:rPr>
        <w:rFonts w:hint="default"/>
        <w:lang w:val="ru-RU" w:eastAsia="en-US" w:bidi="ar-SA"/>
      </w:rPr>
    </w:lvl>
    <w:lvl w:ilvl="7">
      <w:start w:val="0"/>
      <w:numFmt w:val="bullet"/>
      <w:isLgl w:val="false"/>
      <w:suff w:val="tab"/>
      <w:lvlText w:val="•"/>
      <w:lvlJc w:val="left"/>
      <w:pPr>
        <w:ind w:left="6869" w:hanging="357"/>
      </w:pPr>
      <w:rPr>
        <w:rFonts w:hint="default"/>
        <w:lang w:val="ru-RU" w:eastAsia="en-US" w:bidi="ar-SA"/>
      </w:rPr>
    </w:lvl>
    <w:lvl w:ilvl="8">
      <w:start w:val="0"/>
      <w:numFmt w:val="bullet"/>
      <w:isLgl w:val="false"/>
      <w:suff w:val="tab"/>
      <w:lvlText w:val="•"/>
      <w:lvlJc w:val="left"/>
      <w:pPr>
        <w:ind w:left="7839" w:hanging="357"/>
      </w:pPr>
      <w:rPr>
        <w:rFonts w:hint="default"/>
        <w:lang w:val="ru-RU" w:eastAsia="en-US" w:bidi="ar-SA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258" w:hanging="281"/>
        <w:jc w:val="right"/>
      </w:pPr>
      <w:rPr>
        <w:rFonts w:hint="default"/>
        <w:spacing w:val="-1"/>
        <w:lang w:val="ru-RU" w:eastAsia="en-US" w:bidi="ar-SA"/>
      </w:rPr>
    </w:lvl>
    <w:lvl w:ilvl="1">
      <w:start w:val="1"/>
      <w:numFmt w:val="decimal"/>
      <w:isLgl w:val="false"/>
      <w:suff w:val="tab"/>
      <w:lvlText w:val="%1.%2."/>
      <w:lvlJc w:val="left"/>
      <w:pPr>
        <w:ind w:left="80" w:hanging="624"/>
        <w:jc w:val="left"/>
      </w:pPr>
      <w:rPr>
        <w:rFonts w:hint="default"/>
        <w:spacing w:val="0"/>
        <w:lang w:val="ru-RU" w:eastAsia="en-US" w:bidi="ar-SA"/>
      </w:rPr>
    </w:lvl>
    <w:lvl w:ilvl="2">
      <w:start w:val="0"/>
      <w:numFmt w:val="bullet"/>
      <w:isLgl w:val="false"/>
      <w:suff w:val="tab"/>
      <w:lvlText w:val="•"/>
      <w:lvlJc w:val="left"/>
      <w:pPr>
        <w:ind w:left="4260" w:hanging="624"/>
      </w:pPr>
      <w:rPr>
        <w:rFonts w:hint="default"/>
        <w:lang w:val="ru-RU" w:eastAsia="en-US" w:bidi="ar-SA"/>
      </w:rPr>
    </w:lvl>
    <w:lvl w:ilvl="3">
      <w:start w:val="0"/>
      <w:numFmt w:val="bullet"/>
      <w:isLgl w:val="false"/>
      <w:suff w:val="tab"/>
      <w:lvlText w:val="•"/>
      <w:lvlJc w:val="left"/>
      <w:pPr>
        <w:ind w:left="4949" w:hanging="624"/>
      </w:pPr>
      <w:rPr>
        <w:rFonts w:hint="default"/>
        <w:lang w:val="ru-RU" w:eastAsia="en-US" w:bidi="ar-SA"/>
      </w:rPr>
    </w:lvl>
    <w:lvl w:ilvl="4">
      <w:start w:val="0"/>
      <w:numFmt w:val="bullet"/>
      <w:isLgl w:val="false"/>
      <w:suff w:val="tab"/>
      <w:lvlText w:val="•"/>
      <w:lvlJc w:val="left"/>
      <w:pPr>
        <w:ind w:left="5639" w:hanging="624"/>
      </w:pPr>
      <w:rPr>
        <w:rFonts w:hint="default"/>
        <w:lang w:val="ru-RU" w:eastAsia="en-US" w:bidi="ar-SA"/>
      </w:rPr>
    </w:lvl>
    <w:lvl w:ilvl="5">
      <w:start w:val="0"/>
      <w:numFmt w:val="bullet"/>
      <w:isLgl w:val="false"/>
      <w:suff w:val="tab"/>
      <w:lvlText w:val="•"/>
      <w:lvlJc w:val="left"/>
      <w:pPr>
        <w:ind w:left="6329" w:hanging="624"/>
      </w:pPr>
      <w:rPr>
        <w:rFonts w:hint="default"/>
        <w:lang w:val="ru-RU" w:eastAsia="en-US" w:bidi="ar-SA"/>
      </w:rPr>
    </w:lvl>
    <w:lvl w:ilvl="6">
      <w:start w:val="0"/>
      <w:numFmt w:val="bullet"/>
      <w:isLgl w:val="false"/>
      <w:suff w:val="tab"/>
      <w:lvlText w:val="•"/>
      <w:lvlJc w:val="left"/>
      <w:pPr>
        <w:ind w:left="7019" w:hanging="624"/>
      </w:pPr>
      <w:rPr>
        <w:rFonts w:hint="default"/>
        <w:lang w:val="ru-RU" w:eastAsia="en-US" w:bidi="ar-SA"/>
      </w:rPr>
    </w:lvl>
    <w:lvl w:ilvl="7">
      <w:start w:val="0"/>
      <w:numFmt w:val="bullet"/>
      <w:isLgl w:val="false"/>
      <w:suff w:val="tab"/>
      <w:lvlText w:val="•"/>
      <w:lvlJc w:val="left"/>
      <w:pPr>
        <w:ind w:left="7709" w:hanging="624"/>
      </w:pPr>
      <w:rPr>
        <w:rFonts w:hint="default"/>
        <w:lang w:val="ru-RU" w:eastAsia="en-US" w:bidi="ar-SA"/>
      </w:rPr>
    </w:lvl>
    <w:lvl w:ilvl="8">
      <w:start w:val="0"/>
      <w:numFmt w:val="bullet"/>
      <w:isLgl w:val="false"/>
      <w:suff w:val="tab"/>
      <w:lvlText w:val="•"/>
      <w:lvlJc w:val="left"/>
      <w:pPr>
        <w:ind w:left="8399" w:hanging="624"/>
      </w:pPr>
      <w:rPr>
        <w:rFonts w:hint="default"/>
        <w:lang w:val="ru-RU" w:eastAsia="en-US" w:bidi="ar-SA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tabs>
          <w:tab w:val="num" w:pos="0" w:leader="none"/>
        </w:tabs>
        <w:ind w:left="709" w:hanging="360"/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tabs>
          <w:tab w:val="num" w:pos="0" w:leader="none"/>
        </w:tabs>
        <w:ind w:left="142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tabs>
          <w:tab w:val="num" w:pos="0" w:leader="none"/>
        </w:tabs>
        <w:ind w:left="2149" w:hanging="360"/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tabs>
          <w:tab w:val="num" w:pos="0" w:leader="none"/>
        </w:tabs>
        <w:ind w:left="2869" w:hanging="360"/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tabs>
          <w:tab w:val="num" w:pos="0" w:leader="none"/>
        </w:tabs>
        <w:ind w:left="358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tabs>
          <w:tab w:val="num" w:pos="0" w:leader="none"/>
        </w:tabs>
        <w:ind w:left="4309" w:hanging="360"/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tabs>
          <w:tab w:val="num" w:pos="0" w:leader="none"/>
        </w:tabs>
        <w:ind w:left="5029" w:hanging="360"/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tabs>
          <w:tab w:val="num" w:pos="0" w:leader="none"/>
        </w:tabs>
        <w:ind w:left="574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tabs>
          <w:tab w:val="num" w:pos="0" w:leader="none"/>
        </w:tabs>
        <w:ind w:left="6469" w:hanging="360"/>
      </w:pPr>
      <w:rPr>
        <w:rFonts w:hint="default" w:ascii="Wingdings" w:hAnsi="Wingdings" w:cs="Wingdings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tabs>
          <w:tab w:val="num" w:pos="0" w:leader="none"/>
        </w:tabs>
        <w:ind w:left="709" w:hanging="360"/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tabs>
          <w:tab w:val="num" w:pos="0" w:leader="none"/>
        </w:tabs>
        <w:ind w:left="142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tabs>
          <w:tab w:val="num" w:pos="0" w:leader="none"/>
        </w:tabs>
        <w:ind w:left="2149" w:hanging="360"/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tabs>
          <w:tab w:val="num" w:pos="0" w:leader="none"/>
        </w:tabs>
        <w:ind w:left="2869" w:hanging="360"/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tabs>
          <w:tab w:val="num" w:pos="0" w:leader="none"/>
        </w:tabs>
        <w:ind w:left="358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tabs>
          <w:tab w:val="num" w:pos="0" w:leader="none"/>
        </w:tabs>
        <w:ind w:left="4309" w:hanging="360"/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tabs>
          <w:tab w:val="num" w:pos="0" w:leader="none"/>
        </w:tabs>
        <w:ind w:left="5029" w:hanging="360"/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tabs>
          <w:tab w:val="num" w:pos="0" w:leader="none"/>
        </w:tabs>
        <w:ind w:left="574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tabs>
          <w:tab w:val="num" w:pos="0" w:leader="none"/>
        </w:tabs>
        <w:ind w:left="6469" w:hanging="360"/>
      </w:pPr>
      <w:rPr>
        <w:rFonts w:hint="default" w:ascii="Wingdings" w:hAnsi="Wingdings" w:cs="Wingdings"/>
      </w:r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tabs>
          <w:tab w:val="num" w:pos="0" w:leader="none"/>
        </w:tabs>
        <w:ind w:left="709" w:hanging="360"/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tabs>
          <w:tab w:val="num" w:pos="0" w:leader="none"/>
        </w:tabs>
        <w:ind w:left="142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tabs>
          <w:tab w:val="num" w:pos="0" w:leader="none"/>
        </w:tabs>
        <w:ind w:left="2149" w:hanging="360"/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tabs>
          <w:tab w:val="num" w:pos="0" w:leader="none"/>
        </w:tabs>
        <w:ind w:left="2869" w:hanging="360"/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tabs>
          <w:tab w:val="num" w:pos="0" w:leader="none"/>
        </w:tabs>
        <w:ind w:left="358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tabs>
          <w:tab w:val="num" w:pos="0" w:leader="none"/>
        </w:tabs>
        <w:ind w:left="4309" w:hanging="360"/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tabs>
          <w:tab w:val="num" w:pos="0" w:leader="none"/>
        </w:tabs>
        <w:ind w:left="5029" w:hanging="360"/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tabs>
          <w:tab w:val="num" w:pos="0" w:leader="none"/>
        </w:tabs>
        <w:ind w:left="574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tabs>
          <w:tab w:val="num" w:pos="0" w:leader="none"/>
        </w:tabs>
        <w:ind w:left="6469" w:hanging="360"/>
      </w:pPr>
      <w:rPr>
        <w:rFonts w:hint="default" w:ascii="Wingdings" w:hAnsi="Wingdings" w:cs="Wingdings"/>
      </w:r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tabs>
          <w:tab w:val="num" w:pos="0" w:leader="none"/>
        </w:tabs>
        <w:ind w:left="709" w:hanging="360"/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tabs>
          <w:tab w:val="num" w:pos="0" w:leader="none"/>
        </w:tabs>
        <w:ind w:left="142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tabs>
          <w:tab w:val="num" w:pos="0" w:leader="none"/>
        </w:tabs>
        <w:ind w:left="2149" w:hanging="360"/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tabs>
          <w:tab w:val="num" w:pos="0" w:leader="none"/>
        </w:tabs>
        <w:ind w:left="2869" w:hanging="360"/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tabs>
          <w:tab w:val="num" w:pos="0" w:leader="none"/>
        </w:tabs>
        <w:ind w:left="358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tabs>
          <w:tab w:val="num" w:pos="0" w:leader="none"/>
        </w:tabs>
        <w:ind w:left="4309" w:hanging="360"/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tabs>
          <w:tab w:val="num" w:pos="0" w:leader="none"/>
        </w:tabs>
        <w:ind w:left="5029" w:hanging="360"/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tabs>
          <w:tab w:val="num" w:pos="0" w:leader="none"/>
        </w:tabs>
        <w:ind w:left="574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tabs>
          <w:tab w:val="num" w:pos="0" w:leader="none"/>
        </w:tabs>
        <w:ind w:left="6469" w:hanging="360"/>
      </w:pPr>
      <w:rPr>
        <w:rFonts w:hint="default" w:ascii="Wingdings" w:hAnsi="Wingdings" w:cs="Wingdings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34">
    <w:name w:val="Heading 1"/>
    <w:basedOn w:val="912"/>
    <w:next w:val="912"/>
    <w:link w:val="735"/>
    <w:uiPriority w:val="9"/>
    <w:qFormat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35">
    <w:name w:val="Heading 1 Char"/>
    <w:link w:val="734"/>
    <w:uiPriority w:val="9"/>
    <w:rPr>
      <w:rFonts w:ascii="Arial" w:hAnsi="Arial" w:eastAsia="Arial" w:cs="Arial"/>
      <w:sz w:val="40"/>
      <w:szCs w:val="40"/>
    </w:rPr>
  </w:style>
  <w:style w:type="paragraph" w:styleId="736">
    <w:name w:val="Heading 2"/>
    <w:basedOn w:val="912"/>
    <w:next w:val="912"/>
    <w:link w:val="737"/>
    <w:uiPriority w:val="9"/>
    <w:unhideWhenUsed/>
    <w:qFormat/>
    <w:pPr>
      <w:keepNext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37">
    <w:name w:val="Heading 2 Char"/>
    <w:link w:val="736"/>
    <w:uiPriority w:val="9"/>
    <w:rPr>
      <w:rFonts w:ascii="Arial" w:hAnsi="Arial" w:eastAsia="Arial" w:cs="Arial"/>
      <w:sz w:val="34"/>
    </w:rPr>
  </w:style>
  <w:style w:type="paragraph" w:styleId="738">
    <w:name w:val="Heading 3"/>
    <w:basedOn w:val="912"/>
    <w:next w:val="912"/>
    <w:link w:val="739"/>
    <w:uiPriority w:val="9"/>
    <w:unhideWhenUsed/>
    <w:qFormat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39">
    <w:name w:val="Heading 3 Char"/>
    <w:link w:val="738"/>
    <w:uiPriority w:val="9"/>
    <w:rPr>
      <w:rFonts w:ascii="Arial" w:hAnsi="Arial" w:eastAsia="Arial" w:cs="Arial"/>
      <w:sz w:val="30"/>
      <w:szCs w:val="30"/>
    </w:rPr>
  </w:style>
  <w:style w:type="paragraph" w:styleId="740">
    <w:name w:val="Heading 4"/>
    <w:basedOn w:val="912"/>
    <w:next w:val="912"/>
    <w:link w:val="741"/>
    <w:uiPriority w:val="9"/>
    <w:unhideWhenUsed/>
    <w:qFormat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41">
    <w:name w:val="Heading 4 Char"/>
    <w:link w:val="740"/>
    <w:uiPriority w:val="9"/>
    <w:rPr>
      <w:rFonts w:ascii="Arial" w:hAnsi="Arial" w:eastAsia="Arial" w:cs="Arial"/>
      <w:b/>
      <w:bCs/>
      <w:sz w:val="26"/>
      <w:szCs w:val="26"/>
    </w:rPr>
  </w:style>
  <w:style w:type="paragraph" w:styleId="742">
    <w:name w:val="Heading 5"/>
    <w:basedOn w:val="912"/>
    <w:next w:val="912"/>
    <w:link w:val="743"/>
    <w:uiPriority w:val="9"/>
    <w:unhideWhenUsed/>
    <w:qFormat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43">
    <w:name w:val="Heading 5 Char"/>
    <w:link w:val="742"/>
    <w:uiPriority w:val="9"/>
    <w:rPr>
      <w:rFonts w:ascii="Arial" w:hAnsi="Arial" w:eastAsia="Arial" w:cs="Arial"/>
      <w:b/>
      <w:bCs/>
      <w:sz w:val="24"/>
      <w:szCs w:val="24"/>
    </w:rPr>
  </w:style>
  <w:style w:type="paragraph" w:styleId="744">
    <w:name w:val="Heading 6"/>
    <w:basedOn w:val="912"/>
    <w:next w:val="912"/>
    <w:link w:val="745"/>
    <w:uiPriority w:val="9"/>
    <w:unhideWhenUsed/>
    <w:qFormat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45">
    <w:name w:val="Heading 6 Char"/>
    <w:link w:val="744"/>
    <w:uiPriority w:val="9"/>
    <w:rPr>
      <w:rFonts w:ascii="Arial" w:hAnsi="Arial" w:eastAsia="Arial" w:cs="Arial"/>
      <w:b/>
      <w:bCs/>
      <w:sz w:val="22"/>
      <w:szCs w:val="22"/>
    </w:rPr>
  </w:style>
  <w:style w:type="paragraph" w:styleId="746">
    <w:name w:val="Heading 7"/>
    <w:basedOn w:val="912"/>
    <w:next w:val="912"/>
    <w:link w:val="747"/>
    <w:uiPriority w:val="9"/>
    <w:unhideWhenUsed/>
    <w:qFormat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47">
    <w:name w:val="Heading 7 Char"/>
    <w:link w:val="74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48">
    <w:name w:val="Heading 8"/>
    <w:basedOn w:val="912"/>
    <w:next w:val="912"/>
    <w:link w:val="749"/>
    <w:uiPriority w:val="9"/>
    <w:unhideWhenUsed/>
    <w:qFormat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49">
    <w:name w:val="Heading 8 Char"/>
    <w:link w:val="748"/>
    <w:uiPriority w:val="9"/>
    <w:rPr>
      <w:rFonts w:ascii="Arial" w:hAnsi="Arial" w:eastAsia="Arial" w:cs="Arial"/>
      <w:i/>
      <w:iCs/>
      <w:sz w:val="22"/>
      <w:szCs w:val="22"/>
    </w:rPr>
  </w:style>
  <w:style w:type="paragraph" w:styleId="750">
    <w:name w:val="Heading 9"/>
    <w:basedOn w:val="912"/>
    <w:next w:val="912"/>
    <w:link w:val="751"/>
    <w:uiPriority w:val="9"/>
    <w:unhideWhenUsed/>
    <w:qFormat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51">
    <w:name w:val="Heading 9 Char"/>
    <w:link w:val="750"/>
    <w:uiPriority w:val="9"/>
    <w:rPr>
      <w:rFonts w:ascii="Arial" w:hAnsi="Arial" w:eastAsia="Arial" w:cs="Arial"/>
      <w:i/>
      <w:iCs/>
      <w:sz w:val="21"/>
      <w:szCs w:val="21"/>
    </w:rPr>
  </w:style>
  <w:style w:type="paragraph" w:styleId="752">
    <w:name w:val="List Paragraph"/>
    <w:basedOn w:val="912"/>
    <w:uiPriority w:val="34"/>
    <w:qFormat/>
    <w:pPr>
      <w:ind w:left="720"/>
      <w:contextualSpacing/>
    </w:pPr>
  </w:style>
  <w:style w:type="paragraph" w:styleId="753">
    <w:name w:val="No Spacing"/>
    <w:uiPriority w:val="1"/>
    <w:qFormat/>
    <w:pPr>
      <w:spacing w:before="0" w:after="0" w:line="240" w:lineRule="auto"/>
    </w:pPr>
  </w:style>
  <w:style w:type="paragraph" w:styleId="754">
    <w:name w:val="Title"/>
    <w:basedOn w:val="912"/>
    <w:next w:val="912"/>
    <w:link w:val="755"/>
    <w:uiPriority w:val="10"/>
    <w:qFormat/>
    <w:pPr>
      <w:spacing w:before="300" w:after="200"/>
      <w:contextualSpacing/>
    </w:pPr>
    <w:rPr>
      <w:sz w:val="48"/>
      <w:szCs w:val="48"/>
    </w:rPr>
  </w:style>
  <w:style w:type="character" w:styleId="755">
    <w:name w:val="Title Char"/>
    <w:link w:val="754"/>
    <w:uiPriority w:val="10"/>
    <w:rPr>
      <w:sz w:val="48"/>
      <w:szCs w:val="48"/>
    </w:rPr>
  </w:style>
  <w:style w:type="paragraph" w:styleId="756">
    <w:name w:val="Subtitle"/>
    <w:basedOn w:val="912"/>
    <w:next w:val="912"/>
    <w:link w:val="757"/>
    <w:uiPriority w:val="11"/>
    <w:qFormat/>
    <w:pPr>
      <w:spacing w:before="200" w:after="200"/>
    </w:pPr>
    <w:rPr>
      <w:sz w:val="24"/>
      <w:szCs w:val="24"/>
    </w:rPr>
  </w:style>
  <w:style w:type="character" w:styleId="757">
    <w:name w:val="Subtitle Char"/>
    <w:link w:val="756"/>
    <w:uiPriority w:val="11"/>
    <w:rPr>
      <w:sz w:val="24"/>
      <w:szCs w:val="24"/>
    </w:rPr>
  </w:style>
  <w:style w:type="paragraph" w:styleId="758">
    <w:name w:val="Quote"/>
    <w:basedOn w:val="912"/>
    <w:next w:val="912"/>
    <w:link w:val="759"/>
    <w:uiPriority w:val="29"/>
    <w:qFormat/>
    <w:pPr>
      <w:ind w:left="720" w:right="720"/>
    </w:pPr>
    <w:rPr>
      <w:i/>
    </w:rPr>
  </w:style>
  <w:style w:type="character" w:styleId="759">
    <w:name w:val="Quote Char"/>
    <w:link w:val="758"/>
    <w:uiPriority w:val="29"/>
    <w:rPr>
      <w:i/>
    </w:rPr>
  </w:style>
  <w:style w:type="paragraph" w:styleId="760">
    <w:name w:val="Intense Quote"/>
    <w:basedOn w:val="912"/>
    <w:next w:val="912"/>
    <w:link w:val="761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  <w:contextualSpacing w:val="0"/>
    </w:pPr>
    <w:rPr>
      <w:i/>
    </w:rPr>
  </w:style>
  <w:style w:type="character" w:styleId="761">
    <w:name w:val="Intense Quote Char"/>
    <w:link w:val="760"/>
    <w:uiPriority w:val="30"/>
    <w:rPr>
      <w:i/>
    </w:rPr>
  </w:style>
  <w:style w:type="paragraph" w:styleId="762">
    <w:name w:val="Header"/>
    <w:basedOn w:val="912"/>
    <w:link w:val="763"/>
    <w:uiPriority w:val="99"/>
    <w:unhideWhenUsed/>
    <w:pPr>
      <w:tabs>
        <w:tab w:val="center" w:pos="7143" w:leader="none"/>
        <w:tab w:val="right" w:pos="14287" w:leader="none"/>
      </w:tabs>
      <w:spacing w:after="0" w:line="240" w:lineRule="auto"/>
    </w:pPr>
  </w:style>
  <w:style w:type="character" w:styleId="763">
    <w:name w:val="Header Char"/>
    <w:link w:val="762"/>
    <w:uiPriority w:val="99"/>
  </w:style>
  <w:style w:type="paragraph" w:styleId="764">
    <w:name w:val="Footer"/>
    <w:basedOn w:val="912"/>
    <w:link w:val="765"/>
    <w:uiPriority w:val="99"/>
    <w:unhideWhenUsed/>
    <w:pPr>
      <w:tabs>
        <w:tab w:val="center" w:pos="7143" w:leader="none"/>
        <w:tab w:val="right" w:pos="14287" w:leader="none"/>
      </w:tabs>
      <w:spacing w:after="0" w:line="240" w:lineRule="auto"/>
    </w:pPr>
  </w:style>
  <w:style w:type="character" w:styleId="765">
    <w:name w:val="Footer Char"/>
    <w:link w:val="764"/>
    <w:uiPriority w:val="99"/>
  </w:style>
  <w:style w:type="paragraph" w:styleId="766">
    <w:name w:val="Caption"/>
    <w:basedOn w:val="912"/>
    <w:next w:val="912"/>
    <w:link w:val="76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67">
    <w:name w:val="Caption Char"/>
    <w:link w:val="766"/>
    <w:uiPriority w:val="35"/>
    <w:rPr>
      <w:b/>
      <w:bCs/>
      <w:color w:val="4f81bd" w:themeColor="accent1"/>
      <w:sz w:val="18"/>
      <w:szCs w:val="18"/>
    </w:rPr>
  </w:style>
  <w:style w:type="table" w:styleId="768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9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0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1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2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73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75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83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84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85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86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87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88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89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90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91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92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93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94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95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96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97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  <w:shd w:val="clear" w:color="ffffff" w:themeColor="accent1" w:themeTint="EA" w:fill="5d8dc2" w:themeFill="accent1" w:themeFillTint="E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8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9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  <w:shd w:val="clear" w:color="ffffff" w:themeColor="accent3" w:themeTint="FE" w:fill="9bba59" w:themeFill="accent3" w:themeFillTint="FE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0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01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02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03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text1" w:fill="000000" w:themeFill="text1"/>
      </w:tcPr>
    </w:tblStylePr>
  </w:style>
  <w:style w:type="table" w:styleId="804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1" w:fill="4f81bd" w:themeFill="accent1"/>
      </w:tcPr>
    </w:tblStylePr>
  </w:style>
  <w:style w:type="table" w:styleId="805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2" w:fill="c0504d" w:themeFill="accent2"/>
      </w:tcPr>
    </w:tblStylePr>
  </w:style>
  <w:style w:type="table" w:styleId="806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3" w:fill="9bbb59" w:themeFill="accent3"/>
      </w:tcPr>
    </w:tblStylePr>
  </w:style>
  <w:style w:type="table" w:styleId="807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4" w:fill="8064a2" w:themeFill="accent4"/>
      </w:tcPr>
    </w:tblStylePr>
  </w:style>
  <w:style w:type="table" w:styleId="808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5" w:fill="4bacc6" w:themeFill="accent5"/>
      </w:tcPr>
    </w:tblStylePr>
  </w:style>
  <w:style w:type="table" w:styleId="809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6" w:fill="f79646" w:themeFill="accent6"/>
      </w:tcPr>
    </w:tblStylePr>
  </w:style>
  <w:style w:type="table" w:styleId="810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11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12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13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14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15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16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17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  <w:shd w:val="clear" w:color="ffffff"/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18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  <w:shd w:val="clear" w:color="ffffff"/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19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  <w:shd w:val="clear" w:color="ffffff"/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20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  <w:shd w:val="clear" w:color="ffffff"/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21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  <w:shd w:val="clear" w:color="ffffff"/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22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  <w:shd w:val="clear" w:color="ffffff"/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23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  <w:shd w:val="clear" w:color="ffffff"/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24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32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33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34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35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36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37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38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text1" w:themeTint="80" w:sz="32" w:space="0"/>
          <w:bottom w:val="single" w:color="000000" w:themeColor="light1" w:sz="12" w:space="0"/>
        </w:tcBorders>
        <w:shd w:val="clear" w:color="ffffff" w:themeColor="text1" w:themeTint="80" w:fill="7f7f7f" w:themeFill="text1" w:themeFillTint="80"/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3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4f81bd" w:themeFill="accent1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1" w:fill="4f81bd" w:themeFill="accent1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4f81bd" w:themeFill="accent1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themeColor="accent1" w:fill="4f81bd" w:themeFill="accent1"/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4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2" w:themeTint="97" w:sz="32" w:space="0"/>
          <w:bottom w:val="single" w:color="000000" w:themeColor="light1" w:sz="12" w:space="0"/>
        </w:tcBorders>
        <w:shd w:val="clear" w:color="ffffff" w:themeColor="accent2" w:themeTint="97" w:fill="d99694" w:themeFill="accent2" w:themeFillTint="97"/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5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3" w:themeTint="98" w:sz="32" w:space="0"/>
          <w:bottom w:val="single" w:color="000000" w:themeColor="light1" w:sz="12" w:space="0"/>
        </w:tcBorders>
        <w:shd w:val="clear" w:color="ffffff" w:themeColor="accent3" w:themeTint="98" w:fill="c3d69b" w:themeFill="accent3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6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4" w:themeTint="9A" w:sz="32" w:space="0"/>
          <w:bottom w:val="single" w:color="000000" w:themeColor="light1" w:sz="12" w:space="0"/>
        </w:tcBorders>
        <w:shd w:val="clear" w:color="ffffff" w:themeColor="accent4" w:themeTint="9A" w:fill="b2a1c6" w:themeFill="accent4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7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5" w:themeTint="9A" w:sz="32" w:space="0"/>
          <w:bottom w:val="single" w:color="000000" w:themeColor="light1" w:sz="12" w:space="0"/>
        </w:tcBorders>
        <w:shd w:val="clear" w:color="ffffff" w:themeColor="accent5" w:themeTint="9A" w:fill="91cddc" w:themeFill="accent5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8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6" w:themeTint="98" w:sz="32" w:space="0"/>
          <w:bottom w:val="single" w:color="000000" w:themeColor="light1" w:sz="12" w:space="0"/>
        </w:tcBorders>
        <w:shd w:val="clear" w:color="ffffff" w:themeColor="accent6" w:themeTint="98" w:fill="f9bf90" w:themeFill="accent6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9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60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61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62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63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64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65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66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  <w:shd w:val="clear" w:color="ffffff"/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67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68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  <w:shd w:val="clear" w:color="ffffff"/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69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  <w:shd w:val="clear" w:color="ffffff"/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70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  <w:shd w:val="clear" w:color="ffffff"/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71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  <w:shd w:val="clear" w:color="ffffff"/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72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  <w:shd w:val="clear" w:color="ffffff"/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73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74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75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76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77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78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79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80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81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82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83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84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85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86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87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88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89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90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91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92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93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94">
    <w:name w:val="Hyperlink"/>
    <w:uiPriority w:val="99"/>
    <w:unhideWhenUsed/>
    <w:rPr>
      <w:color w:val="0000ff" w:themeColor="hyperlink"/>
      <w:u w:val="single"/>
    </w:rPr>
  </w:style>
  <w:style w:type="paragraph" w:styleId="895">
    <w:name w:val="footnote text"/>
    <w:basedOn w:val="912"/>
    <w:link w:val="896"/>
    <w:uiPriority w:val="99"/>
    <w:semiHidden/>
    <w:unhideWhenUsed/>
    <w:pPr>
      <w:spacing w:after="40" w:line="240" w:lineRule="auto"/>
    </w:pPr>
    <w:rPr>
      <w:sz w:val="18"/>
    </w:rPr>
  </w:style>
  <w:style w:type="character" w:styleId="896">
    <w:name w:val="Footnote Text Char"/>
    <w:link w:val="895"/>
    <w:uiPriority w:val="99"/>
    <w:rPr>
      <w:sz w:val="18"/>
    </w:rPr>
  </w:style>
  <w:style w:type="character" w:styleId="897">
    <w:name w:val="footnote reference"/>
    <w:uiPriority w:val="99"/>
    <w:unhideWhenUsed/>
    <w:rPr>
      <w:vertAlign w:val="superscript"/>
    </w:rPr>
  </w:style>
  <w:style w:type="paragraph" w:styleId="898">
    <w:name w:val="endnote text"/>
    <w:basedOn w:val="912"/>
    <w:link w:val="899"/>
    <w:uiPriority w:val="99"/>
    <w:semiHidden/>
    <w:unhideWhenUsed/>
    <w:pPr>
      <w:spacing w:after="0" w:line="240" w:lineRule="auto"/>
    </w:pPr>
    <w:rPr>
      <w:sz w:val="20"/>
    </w:rPr>
  </w:style>
  <w:style w:type="character" w:styleId="899">
    <w:name w:val="Endnote Text Char"/>
    <w:link w:val="898"/>
    <w:uiPriority w:val="99"/>
    <w:rPr>
      <w:sz w:val="20"/>
    </w:rPr>
  </w:style>
  <w:style w:type="character" w:styleId="900">
    <w:name w:val="endnote reference"/>
    <w:uiPriority w:val="99"/>
    <w:semiHidden/>
    <w:unhideWhenUsed/>
    <w:rPr>
      <w:vertAlign w:val="superscript"/>
    </w:rPr>
  </w:style>
  <w:style w:type="paragraph" w:styleId="901">
    <w:name w:val="toc 1"/>
    <w:basedOn w:val="912"/>
    <w:next w:val="912"/>
    <w:uiPriority w:val="39"/>
    <w:unhideWhenUsed/>
    <w:pPr>
      <w:spacing w:after="57"/>
      <w:ind w:left="0" w:right="0" w:firstLine="0"/>
    </w:pPr>
  </w:style>
  <w:style w:type="paragraph" w:styleId="902">
    <w:name w:val="toc 2"/>
    <w:basedOn w:val="912"/>
    <w:next w:val="912"/>
    <w:uiPriority w:val="39"/>
    <w:unhideWhenUsed/>
    <w:pPr>
      <w:spacing w:after="57"/>
      <w:ind w:left="283" w:right="0" w:firstLine="0"/>
    </w:pPr>
  </w:style>
  <w:style w:type="paragraph" w:styleId="903">
    <w:name w:val="toc 3"/>
    <w:basedOn w:val="912"/>
    <w:next w:val="912"/>
    <w:uiPriority w:val="39"/>
    <w:unhideWhenUsed/>
    <w:pPr>
      <w:spacing w:after="57"/>
      <w:ind w:left="567" w:right="0" w:firstLine="0"/>
    </w:pPr>
  </w:style>
  <w:style w:type="paragraph" w:styleId="904">
    <w:name w:val="toc 4"/>
    <w:basedOn w:val="912"/>
    <w:next w:val="912"/>
    <w:uiPriority w:val="39"/>
    <w:unhideWhenUsed/>
    <w:pPr>
      <w:spacing w:after="57"/>
      <w:ind w:left="850" w:right="0" w:firstLine="0"/>
    </w:pPr>
  </w:style>
  <w:style w:type="paragraph" w:styleId="905">
    <w:name w:val="toc 5"/>
    <w:basedOn w:val="912"/>
    <w:next w:val="912"/>
    <w:uiPriority w:val="39"/>
    <w:unhideWhenUsed/>
    <w:pPr>
      <w:spacing w:after="57"/>
      <w:ind w:left="1134" w:right="0" w:firstLine="0"/>
    </w:pPr>
  </w:style>
  <w:style w:type="paragraph" w:styleId="906">
    <w:name w:val="toc 6"/>
    <w:basedOn w:val="912"/>
    <w:next w:val="912"/>
    <w:uiPriority w:val="39"/>
    <w:unhideWhenUsed/>
    <w:pPr>
      <w:spacing w:after="57"/>
      <w:ind w:left="1417" w:right="0" w:firstLine="0"/>
    </w:pPr>
  </w:style>
  <w:style w:type="paragraph" w:styleId="907">
    <w:name w:val="toc 7"/>
    <w:basedOn w:val="912"/>
    <w:next w:val="912"/>
    <w:uiPriority w:val="39"/>
    <w:unhideWhenUsed/>
    <w:pPr>
      <w:spacing w:after="57"/>
      <w:ind w:left="1701" w:right="0" w:firstLine="0"/>
    </w:pPr>
  </w:style>
  <w:style w:type="paragraph" w:styleId="908">
    <w:name w:val="toc 8"/>
    <w:basedOn w:val="912"/>
    <w:next w:val="912"/>
    <w:uiPriority w:val="39"/>
    <w:unhideWhenUsed/>
    <w:pPr>
      <w:spacing w:after="57"/>
      <w:ind w:left="1984" w:right="0" w:firstLine="0"/>
    </w:pPr>
  </w:style>
  <w:style w:type="paragraph" w:styleId="909">
    <w:name w:val="toc 9"/>
    <w:basedOn w:val="912"/>
    <w:next w:val="912"/>
    <w:uiPriority w:val="39"/>
    <w:unhideWhenUsed/>
    <w:pPr>
      <w:spacing w:after="57"/>
      <w:ind w:left="2268" w:right="0" w:firstLine="0"/>
    </w:pPr>
  </w:style>
  <w:style w:type="paragraph" w:styleId="910">
    <w:name w:val="TOC Heading"/>
    <w:uiPriority w:val="39"/>
    <w:unhideWhenUsed/>
  </w:style>
  <w:style w:type="paragraph" w:styleId="911">
    <w:name w:val="table of figures"/>
    <w:basedOn w:val="912"/>
    <w:next w:val="912"/>
    <w:uiPriority w:val="99"/>
    <w:unhideWhenUsed/>
    <w:pPr>
      <w:spacing w:after="0" w:afterAutospacing="0"/>
    </w:pPr>
  </w:style>
  <w:style w:type="paragraph" w:styleId="912" w:default="1">
    <w:name w:val="Normal"/>
    <w:next w:val="912"/>
    <w:link w:val="912"/>
    <w:qFormat/>
    <w:pPr>
      <w:spacing w:after="200" w:line="276" w:lineRule="auto"/>
    </w:pPr>
    <w:rPr>
      <w:sz w:val="22"/>
      <w:szCs w:val="22"/>
      <w:lang w:val="ru-RU" w:eastAsia="en-US" w:bidi="ar-SA"/>
    </w:rPr>
  </w:style>
  <w:style w:type="character" w:styleId="913">
    <w:name w:val="Основной шрифт абзаца"/>
    <w:next w:val="913"/>
    <w:link w:val="912"/>
    <w:uiPriority w:val="1"/>
    <w:unhideWhenUsed/>
  </w:style>
  <w:style w:type="table" w:styleId="914">
    <w:name w:val="Обычная таблица"/>
    <w:next w:val="914"/>
    <w:link w:val="912"/>
    <w:uiPriority w:val="99"/>
    <w:semiHidden/>
    <w:unhideWhenUsed/>
    <w:tblPr/>
  </w:style>
  <w:style w:type="numbering" w:styleId="915">
    <w:name w:val="Нет списка"/>
    <w:next w:val="915"/>
    <w:link w:val="912"/>
    <w:uiPriority w:val="99"/>
    <w:semiHidden/>
    <w:unhideWhenUsed/>
  </w:style>
  <w:style w:type="character" w:styleId="916">
    <w:name w:val="Основной текст (3)_"/>
    <w:next w:val="916"/>
    <w:link w:val="918"/>
    <w:rPr>
      <w:rFonts w:ascii="Times New Roman" w:hAnsi="Times New Roman" w:eastAsia="Times New Roman" w:cs="Times New Roman"/>
      <w:b/>
      <w:bCs/>
      <w:sz w:val="28"/>
      <w:szCs w:val="28"/>
      <w:shd w:val="clear" w:color="auto" w:fill="ffffff"/>
    </w:rPr>
  </w:style>
  <w:style w:type="character" w:styleId="917">
    <w:name w:val="Основной текст (3) + Интервал 1 pt"/>
    <w:next w:val="917"/>
    <w:link w:val="912"/>
    <w:rPr>
      <w:rFonts w:ascii="Times New Roman" w:hAnsi="Times New Roman" w:eastAsia="Times New Roman" w:cs="Times New Roman"/>
      <w:b/>
      <w:bCs/>
      <w:color w:val="000000"/>
      <w:spacing w:val="30"/>
      <w:position w:val="0"/>
      <w:sz w:val="28"/>
      <w:szCs w:val="28"/>
      <w:shd w:val="clear" w:color="auto" w:fill="ffffff"/>
      <w:lang w:val="ru-RU" w:eastAsia="ru-RU" w:bidi="ru-RU"/>
    </w:rPr>
  </w:style>
  <w:style w:type="paragraph" w:styleId="918">
    <w:name w:val="Основной текст (3)"/>
    <w:basedOn w:val="912"/>
    <w:next w:val="918"/>
    <w:link w:val="916"/>
    <w:pPr>
      <w:widowControl w:val="off"/>
      <w:shd w:val="clear" w:color="auto" w:fill="ffffff"/>
      <w:spacing w:after="0" w:line="326" w:lineRule="exact"/>
      <w:jc w:val="center"/>
    </w:pPr>
    <w:rPr>
      <w:rFonts w:ascii="Times New Roman" w:hAnsi="Times New Roman" w:eastAsia="Times New Roman"/>
      <w:b/>
      <w:bCs/>
      <w:sz w:val="28"/>
      <w:szCs w:val="28"/>
      <w:lang w:val="en-US" w:eastAsia="en-US"/>
    </w:rPr>
  </w:style>
  <w:style w:type="table" w:styleId="919">
    <w:name w:val="Сетка таблицы"/>
    <w:basedOn w:val="914"/>
    <w:next w:val="919"/>
    <w:link w:val="912"/>
    <w:uiPriority w:val="39"/>
    <w:pPr>
      <w:spacing w:after="0" w:line="240" w:lineRule="auto"/>
    </w:pPr>
    <w:tblPr/>
  </w:style>
  <w:style w:type="character" w:styleId="920">
    <w:name w:val="Основной текст (2)_"/>
    <w:next w:val="920"/>
    <w:link w:val="921"/>
    <w:rPr>
      <w:rFonts w:ascii="Times New Roman" w:hAnsi="Times New Roman" w:eastAsia="Times New Roman" w:cs="Times New Roman"/>
      <w:sz w:val="28"/>
      <w:szCs w:val="28"/>
      <w:shd w:val="clear" w:color="auto" w:fill="ffffff"/>
    </w:rPr>
  </w:style>
  <w:style w:type="paragraph" w:styleId="921">
    <w:name w:val="Основной текст (2)"/>
    <w:basedOn w:val="912"/>
    <w:next w:val="921"/>
    <w:link w:val="920"/>
    <w:pPr>
      <w:widowControl w:val="off"/>
      <w:shd w:val="clear" w:color="auto" w:fill="ffffff"/>
      <w:spacing w:before="900" w:after="0" w:line="322" w:lineRule="exact"/>
      <w:jc w:val="both"/>
    </w:pPr>
    <w:rPr>
      <w:rFonts w:ascii="Times New Roman" w:hAnsi="Times New Roman" w:eastAsia="Times New Roman"/>
      <w:sz w:val="28"/>
      <w:szCs w:val="28"/>
      <w:lang w:val="en-US" w:eastAsia="en-US"/>
    </w:rPr>
  </w:style>
  <w:style w:type="paragraph" w:styleId="922">
    <w:name w:val="Текст выноски"/>
    <w:basedOn w:val="912"/>
    <w:next w:val="922"/>
    <w:link w:val="923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  <w:lang w:val="en-US" w:eastAsia="en-US"/>
    </w:rPr>
  </w:style>
  <w:style w:type="character" w:styleId="923">
    <w:name w:val="Текст выноски Знак"/>
    <w:next w:val="923"/>
    <w:link w:val="922"/>
    <w:uiPriority w:val="99"/>
    <w:semiHidden/>
    <w:rPr>
      <w:rFonts w:ascii="Tahoma" w:hAnsi="Tahoma" w:cs="Tahoma"/>
      <w:sz w:val="16"/>
      <w:szCs w:val="16"/>
    </w:rPr>
  </w:style>
  <w:style w:type="paragraph" w:styleId="924">
    <w:name w:val="Верхний колонтитул"/>
    <w:basedOn w:val="912"/>
    <w:next w:val="924"/>
    <w:link w:val="925"/>
    <w:uiPriority w:val="99"/>
    <w:unhideWhenUsed/>
    <w:pPr>
      <w:tabs>
        <w:tab w:val="center" w:pos="4677" w:leader="none"/>
        <w:tab w:val="right" w:pos="9355" w:leader="none"/>
      </w:tabs>
      <w:spacing w:after="0" w:line="240" w:lineRule="auto"/>
    </w:pPr>
  </w:style>
  <w:style w:type="character" w:styleId="925">
    <w:name w:val="Верхний колонтитул Знак"/>
    <w:basedOn w:val="913"/>
    <w:next w:val="925"/>
    <w:link w:val="924"/>
    <w:uiPriority w:val="99"/>
  </w:style>
  <w:style w:type="paragraph" w:styleId="926">
    <w:name w:val="Нижний колонтитул"/>
    <w:basedOn w:val="912"/>
    <w:next w:val="926"/>
    <w:link w:val="927"/>
    <w:uiPriority w:val="99"/>
    <w:unhideWhenUsed/>
    <w:pPr>
      <w:tabs>
        <w:tab w:val="center" w:pos="4677" w:leader="none"/>
        <w:tab w:val="right" w:pos="9355" w:leader="none"/>
      </w:tabs>
      <w:spacing w:after="0" w:line="240" w:lineRule="auto"/>
    </w:pPr>
  </w:style>
  <w:style w:type="character" w:styleId="927">
    <w:name w:val="Нижний колонтитул Знак"/>
    <w:basedOn w:val="913"/>
    <w:next w:val="927"/>
    <w:link w:val="926"/>
    <w:uiPriority w:val="99"/>
  </w:style>
  <w:style w:type="paragraph" w:styleId="928">
    <w:name w:val="Основной текст"/>
    <w:basedOn w:val="912"/>
    <w:next w:val="928"/>
    <w:link w:val="929"/>
    <w:uiPriority w:val="99"/>
    <w:pPr>
      <w:widowControl w:val="off"/>
      <w:spacing w:after="0" w:line="240" w:lineRule="auto"/>
      <w:ind w:left="1239"/>
    </w:pPr>
    <w:rPr>
      <w:rFonts w:ascii="Times New Roman" w:hAnsi="Times New Roman" w:eastAsia="Times New Roman"/>
      <w:sz w:val="28"/>
      <w:szCs w:val="28"/>
      <w:lang w:val="en-US" w:eastAsia="ru-RU"/>
    </w:rPr>
  </w:style>
  <w:style w:type="character" w:styleId="929">
    <w:name w:val="Основной текст Знак"/>
    <w:next w:val="929"/>
    <w:link w:val="928"/>
    <w:uiPriority w:val="99"/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930">
    <w:name w:val="Default"/>
    <w:next w:val="930"/>
    <w:link w:val="912"/>
    <w:rPr>
      <w:rFonts w:ascii="Times New Roman" w:hAnsi="Times New Roman"/>
      <w:color w:val="000000"/>
      <w:sz w:val="24"/>
      <w:szCs w:val="24"/>
      <w:lang w:val="ru-RU" w:eastAsia="ru-RU" w:bidi="ar-SA"/>
    </w:rPr>
  </w:style>
  <w:style w:type="paragraph" w:styleId="931">
    <w:name w:val="Основной текст 2"/>
    <w:basedOn w:val="912"/>
    <w:next w:val="931"/>
    <w:link w:val="932"/>
    <w:pPr>
      <w:spacing w:after="120" w:line="480" w:lineRule="auto"/>
    </w:pPr>
    <w:rPr>
      <w:rFonts w:ascii="Times New Roman" w:hAnsi="Times New Roman" w:eastAsia="Times New Roman"/>
      <w:sz w:val="20"/>
      <w:szCs w:val="20"/>
      <w:lang w:val="en-US" w:eastAsia="en-US"/>
    </w:rPr>
  </w:style>
  <w:style w:type="character" w:styleId="932">
    <w:name w:val="Основной текст 2 Знак"/>
    <w:next w:val="932"/>
    <w:link w:val="931"/>
    <w:rPr>
      <w:rFonts w:ascii="Times New Roman" w:hAnsi="Times New Roman" w:eastAsia="Times New Roman"/>
    </w:rPr>
  </w:style>
  <w:style w:type="paragraph" w:styleId="933">
    <w:name w:val="Текст"/>
    <w:basedOn w:val="912"/>
    <w:next w:val="933"/>
    <w:link w:val="934"/>
    <w:pPr>
      <w:spacing w:after="0" w:line="240" w:lineRule="auto"/>
    </w:pPr>
    <w:rPr>
      <w:rFonts w:ascii="Courier New" w:hAnsi="Courier New" w:eastAsia="Times New Roman"/>
      <w:sz w:val="20"/>
      <w:szCs w:val="20"/>
      <w:lang w:val="en-US" w:eastAsia="en-US"/>
    </w:rPr>
  </w:style>
  <w:style w:type="character" w:styleId="934">
    <w:name w:val="Текст Знак"/>
    <w:next w:val="934"/>
    <w:link w:val="933"/>
    <w:rPr>
      <w:rFonts w:ascii="Courier New" w:hAnsi="Courier New" w:eastAsia="Times New Roman"/>
      <w:lang w:val="en-US" w:eastAsia="en-US"/>
    </w:rPr>
  </w:style>
  <w:style w:type="paragraph" w:styleId="935">
    <w:name w:val="Style7"/>
    <w:basedOn w:val="912"/>
    <w:next w:val="912"/>
    <w:link w:val="912"/>
    <w:uiPriority w:val="99"/>
    <w:pPr>
      <w:spacing w:after="0" w:line="206" w:lineRule="exact"/>
      <w:ind w:firstLine="180"/>
    </w:pPr>
    <w:rPr>
      <w:rFonts w:ascii="Times New Roman" w:hAnsi="Times New Roman" w:eastAsia="Times New Roman"/>
      <w:sz w:val="26"/>
      <w:szCs w:val="20"/>
      <w:lang w:eastAsia="ar-SA"/>
    </w:rPr>
  </w:style>
  <w:style w:type="paragraph" w:styleId="936">
    <w:name w:val="Основной текст 3"/>
    <w:basedOn w:val="912"/>
    <w:next w:val="936"/>
    <w:link w:val="937"/>
    <w:uiPriority w:val="99"/>
    <w:unhideWhenUsed/>
    <w:pPr>
      <w:spacing w:after="120"/>
    </w:pPr>
    <w:rPr>
      <w:sz w:val="16"/>
      <w:szCs w:val="16"/>
      <w:lang w:val="en-US"/>
    </w:rPr>
  </w:style>
  <w:style w:type="character" w:styleId="937">
    <w:name w:val="Основной текст 3 Знак"/>
    <w:next w:val="937"/>
    <w:link w:val="936"/>
    <w:uiPriority w:val="99"/>
    <w:rPr>
      <w:sz w:val="16"/>
      <w:szCs w:val="16"/>
      <w:lang w:eastAsia="en-US"/>
    </w:rPr>
  </w:style>
  <w:style w:type="paragraph" w:styleId="938">
    <w:name w:val="Обычный (веб)"/>
    <w:basedOn w:val="912"/>
    <w:next w:val="938"/>
    <w:link w:val="912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character" w:styleId="939" w:default="1">
    <w:name w:val="Default Paragraph Font"/>
    <w:uiPriority w:val="1"/>
    <w:semiHidden/>
    <w:unhideWhenUsed/>
  </w:style>
  <w:style w:type="numbering" w:styleId="940" w:default="1">
    <w:name w:val="No List"/>
    <w:uiPriority w:val="99"/>
    <w:semiHidden/>
    <w:unhideWhenUsed/>
  </w:style>
  <w:style w:type="table" w:styleId="941" w:default="1">
    <w:name w:val="Normal Table"/>
    <w:uiPriority w:val="99"/>
    <w:semiHidden/>
    <w:unhideWhenUsed/>
    <w:tblPr/>
  </w:style>
  <w:style w:type="paragraph" w:styleId="942" w:customStyle="1">
    <w:name w:val="ConsPlusTitle"/>
    <w:pPr>
      <w:keepNext w:val="0"/>
      <w:keepLines w:val="0"/>
      <w:pageBreakBefore w:val="0"/>
      <w:widowControl w:val="off"/>
      <w:suppressLineNumbers w:val="0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/>
      <w:spacing w:before="0" w:beforeAutospacing="0" w:after="0" w:afterAutospacing="0" w:line="240" w:lineRule="auto"/>
      <w:ind w:left="0" w:right="0" w:firstLine="709"/>
      <w:contextualSpacing w:val="0"/>
      <w:jc w:val="both"/>
    </w:pPr>
    <w:rPr>
      <w:rFonts w:ascii="Arial" w:hAnsi="Arial" w:eastAsia="Times New Roman" w:cs="Arial"/>
      <w:b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943" w:customStyle="1">
    <w:name w:val="Body Text"/>
    <w:uiPriority w:val="1"/>
    <w:qFormat/>
    <w:pPr>
      <w:keepNext w:val="0"/>
      <w:keepLines w:val="0"/>
      <w:pageBreakBefore w:val="0"/>
      <w:widowControl w:val="off"/>
      <w:suppressLineNumbers w:val="0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/>
      <w:spacing w:before="0" w:beforeAutospacing="0" w:after="0" w:afterAutospacing="0" w:line="240" w:lineRule="auto"/>
      <w:ind w:left="0" w:right="0" w:firstLine="0"/>
      <w:contextualSpacing w:val="0"/>
      <w:jc w:val="left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9"/>
      <w:szCs w:val="29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944" w:customStyle="1">
    <w:name w:val="Table Paragraph"/>
    <w:uiPriority w:val="1"/>
    <w:qFormat/>
    <w:pPr>
      <w:keepNext w:val="0"/>
      <w:keepLines w:val="0"/>
      <w:pageBreakBefore w:val="0"/>
      <w:widowControl w:val="off"/>
      <w:suppressLineNumbers w:val="0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/>
      <w:spacing w:before="0" w:beforeAutospacing="0" w:after="0" w:afterAutospacing="0" w:line="240" w:lineRule="auto"/>
      <w:ind w:left="0" w:right="0" w:firstLine="0"/>
      <w:contextualSpacing w:val="0"/>
      <w:jc w:val="center"/>
    </w:pPr>
    <w:rPr>
      <w:rFonts w:ascii="Cambria" w:hAnsi="Cambria" w:eastAsia="Cambria" w:cs="Cambria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2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945" w:customStyle="1">
    <w:name w:val="Содержимое врезки"/>
    <w:qFormat/>
    <w:pPr>
      <w:keepNext w:val="0"/>
      <w:keepLines w:val="0"/>
      <w:pageBreakBefore w:val="0"/>
      <w:widowControl/>
      <w:suppressLineNumbers w:val="0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/>
      <w:spacing w:before="0" w:beforeAutospacing="0" w:after="200" w:afterAutospacing="0" w:line="276" w:lineRule="auto"/>
      <w:ind w:left="0" w:right="0" w:firstLine="0"/>
      <w:contextualSpacing w:val="0"/>
      <w:jc w:val="left"/>
    </w:pPr>
    <w:rPr>
      <w:rFonts w:asciiTheme="minorHAnsi" w:hAnsiTheme="minorHAnsi" w:eastAsiaTheme="minorHAnsi" w:cstheme="minorBid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2"/>
      <w:highlight w:val="none"/>
      <w:u w:val="none"/>
      <w:vertAlign w:val="baseline"/>
      <w:rtl w:val="0"/>
      <w:cs w:val="0"/>
      <w:lang w:val="ru-RU" w:eastAsia="en-US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>SPecialiST RePack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 2</dc:creator>
  <cp:lastModifiedBy>user</cp:lastModifiedBy>
  <cp:revision>28</cp:revision>
  <dcterms:created xsi:type="dcterms:W3CDTF">2025-01-15T13:58:00Z</dcterms:created>
  <dcterms:modified xsi:type="dcterms:W3CDTF">2026-01-26T11:27:54Z</dcterms:modified>
  <cp:version>1048576</cp:version>
</cp:coreProperties>
</file>